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media/rId23.svg" ContentType="image/svg+xml"/>
  <Override PartName="/word/media/rId100.png" ContentType="image/png"/>
  <Override PartName="/word/media/rId106.png" ContentType="image/png"/>
  <Override PartName="/word/media/rId84.png" ContentType="image/png"/>
  <Override PartName="/word/media/rId96.png" ContentType="image/png"/>
  <Override PartName="/word/media/rId56.png" ContentType="image/png"/>
  <Override PartName="/word/media/rId48.png" ContentType="image/png"/>
  <Override PartName="/word/media/rId92.png" ContentType="image/png"/>
  <Override PartName="/word/media/rId88.png" ContentType="image/png"/>
  <Override PartName="/word/media/rId73.svg" ContentType="image/svg+xml"/>
  <Override PartName="/word/media/rId26.png" ContentType="image/png"/>
  <Override PartName="/word/media/rId31.png" ContentType="image/png"/>
  <Override PartName="/word/media/rId45.png" ContentType="image/png"/>
  <Override PartName="/word/media/rId76.png" ContentType="image/png"/>
  <Override PartName="/word/media/rId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w:t>
      </w:r>
    </w:p>
    <w:p>
      <w:pPr>
        <w:pStyle w:val="BodyText"/>
      </w:pPr>
      <w:r>
        <w:t xml:space="preserve"> </w:t>
      </w:r>
    </w:p>
    <w:bookmarkStart w:id="22" w:name="title"/>
    <w:p>
      <w:pPr>
        <w:pStyle w:val="Heading1"/>
      </w:pPr>
      <w:r>
        <w:t xml:space="preserve">Quantifying metacognition with the</w:t>
      </w:r>
      <w:r>
        <w:t xml:space="preserve"> </w:t>
      </w:r>
      <w:r>
        <w:rPr>
          <w:rStyle w:val="VerbatimChar"/>
        </w:rPr>
        <w:t xml:space="preserve">hmetad</w:t>
      </w:r>
      <w:r>
        <w:t xml:space="preserve"> </w:t>
      </w:r>
      <w:r>
        <w:t xml:space="preserve">package in R</w:t>
      </w:r>
    </w:p>
    <w:p>
      <w:pPr>
        <w:pStyle w:val="Author"/>
      </w:pPr>
      <w:r>
        <w:t xml:space="preserve"> </w:t>
      </w:r>
    </w:p>
    <w:p>
      <w:pPr>
        <w:pStyle w:val="Author"/>
      </w:pPr>
      <w:r>
        <w:t xml:space="preserve">Kevin O’Neill and Stephen M. Fleming</w:t>
      </w:r>
    </w:p>
    <w:p>
      <w:pPr>
        <w:pStyle w:val="Author"/>
      </w:pPr>
      <w:r>
        <w:t xml:space="preserve">Department of Experimental Psychology, University College London</w:t>
      </w:r>
    </w:p>
    <w:p>
      <w:pPr>
        <w:pStyle w:val="Author"/>
      </w:pPr>
      <w:r>
        <w:t xml:space="preserve">Institute of Cognitive Neuroscience, University College London</w:t>
      </w:r>
    </w:p>
    <w:p>
      <w:pPr>
        <w:pStyle w:val="BodyText"/>
      </w:pPr>
      <w:r>
        <w:t xml:space="preserve"> </w:t>
      </w:r>
    </w:p>
    <w:p>
      <w:pPr>
        <w:pStyle w:val="BodyText"/>
      </w:pPr>
      <w:r>
        <w:t xml:space="preserve"> </w:t>
      </w:r>
    </w:p>
    <w:bookmarkEnd w:id="22"/>
    <w:bookmarkStart w:id="37" w:name="author-note"/>
    <w:p>
      <w:pPr>
        <w:pStyle w:val="Heading1"/>
      </w:pPr>
      <w:r>
        <w:t xml:space="preserve">Author Note</w:t>
      </w:r>
    </w:p>
    <w:p>
      <w:pPr>
        <w:pStyle w:val="FirstParagraph"/>
      </w:pPr>
      <w:r>
        <w:t xml:space="preserve">Kevin O’Neill</w:t>
      </w:r>
      <w:r>
        <w:t xml:space="preserve"> </w:t>
      </w:r>
      <w:bookmarkStart w:id="27" w:name="orcid"/>
      <w:r>
        <w:drawing>
          <wp:inline>
            <wp:extent cx="152279" cy="152279"/>
            <wp:effectExtent b="0" l="0" r="0" t="0"/>
            <wp:docPr descr="Orcid ID Logo: A green circle with white letters ID" title="" id="24" name="Picture"/>
            <a:graphic>
              <a:graphicData uri="http://schemas.openxmlformats.org/drawingml/2006/picture">
                <pic:pic>
                  <pic:nvPicPr>
                    <pic:cNvPr descr="_extensions/wjschne/apaquarto/ORCID-iD_icon-vector.svg" id="25" name="Picture"/>
                    <pic:cNvPicPr>
                      <a:picLocks noChangeArrowheads="1" noChangeAspect="1"/>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279" cy="152279"/>
                    </a:xfrm>
                    <a:prstGeom prst="rect">
                      <a:avLst/>
                    </a:prstGeom>
                    <a:noFill/>
                    <a:ln w="9525">
                      <a:noFill/>
                      <a:headEnd/>
                      <a:tailEnd/>
                    </a:ln>
                  </pic:spPr>
                </pic:pic>
              </a:graphicData>
            </a:graphic>
          </wp:inline>
        </w:drawing>
      </w:r>
      <w:bookmarkEnd w:id="27"/>
      <w:r>
        <w:t xml:space="preserve"> </w:t>
      </w:r>
      <w:hyperlink r:id="rId28">
        <w:r>
          <w:rPr>
            <w:rStyle w:val="Hyperlink"/>
          </w:rPr>
          <w:t xml:space="preserve">https://orcid.org/0000-0001-7401-9802</w:t>
        </w:r>
      </w:hyperlink>
    </w:p>
    <w:p>
      <w:pPr>
        <w:pStyle w:val="BodyText"/>
      </w:pPr>
      <w:r>
        <w:t xml:space="preserve">Stephen M. Fleming</w:t>
      </w:r>
      <w:r>
        <w:t xml:space="preserve"> </w:t>
      </w:r>
      <w:bookmarkStart w:id="32" w:name="orcid"/>
      <w:r>
        <w:drawing>
          <wp:inline>
            <wp:extent cx="152279" cy="152279"/>
            <wp:effectExtent b="0" l="0" r="0" t="0"/>
            <wp:docPr descr="Orcid ID Logo: A green circle with white letters ID" title="" id="29" name="Picture"/>
            <a:graphic>
              <a:graphicData uri="http://schemas.openxmlformats.org/drawingml/2006/picture">
                <pic:pic>
                  <pic:nvPicPr>
                    <pic:cNvPr descr="_extensions/wjschne/apaquarto/ORCID-iD_icon-vector.svg" id="30" name="Picture"/>
                    <pic:cNvPicPr>
                      <a:picLocks noChangeArrowheads="1" noChangeAspect="1"/>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279" cy="152279"/>
                    </a:xfrm>
                    <a:prstGeom prst="rect">
                      <a:avLst/>
                    </a:prstGeom>
                    <a:noFill/>
                    <a:ln w="9525">
                      <a:noFill/>
                      <a:headEnd/>
                      <a:tailEnd/>
                    </a:ln>
                  </pic:spPr>
                </pic:pic>
              </a:graphicData>
            </a:graphic>
          </wp:inline>
        </w:drawing>
      </w:r>
      <w:bookmarkEnd w:id="32"/>
      <w:r>
        <w:t xml:space="preserve"> </w:t>
      </w:r>
      <w:hyperlink r:id="rId33">
        <w:r>
          <w:rPr>
            <w:rStyle w:val="Hyperlink"/>
          </w:rPr>
          <w:t xml:space="preserve">https://orcid.org/0000-0003-0233-4891</w:t>
        </w:r>
      </w:hyperlink>
    </w:p>
    <w:p>
      <w:pPr>
        <w:pStyle w:val="BodyText"/>
      </w:pPr>
      <w:r>
        <w:t xml:space="preserve">All data, materials, and code are available at</w:t>
      </w:r>
      <w:r>
        <w:t xml:space="preserve"> </w:t>
      </w:r>
      <w:hyperlink r:id="rId34">
        <w:r>
          <w:rPr>
            <w:rStyle w:val="Hyperlink"/>
          </w:rPr>
          <w:t xml:space="preserve">https://github.com/metacoglab/hmetad_tutorial</w:t>
        </w:r>
      </w:hyperlink>
      <w:r>
        <w:t xml:space="preserve">. This manuscript is available in other formats at</w:t>
      </w:r>
      <w:r>
        <w:t xml:space="preserve"> </w:t>
      </w:r>
      <w:hyperlink r:id="rId35">
        <w:r>
          <w:rPr>
            <w:rStyle w:val="Hyperlink"/>
          </w:rPr>
          <w:t xml:space="preserve">https://metacoglab.github.io/hmetad_tutorial/</w:t>
        </w:r>
      </w:hyperlink>
      <w:r>
        <w:t xml:space="preserve">. The authors have no conflicts of interest to declare. SMF is a CIFAR Fellow in the Brain, Mind and Consciousness Program, and funded by UK Research and Innovation (UKRI) under the UK government’s Horizon Europe funding guarantee (selected as ERC Consolidator, grant number 101043666).</w:t>
      </w:r>
    </w:p>
    <w:p>
      <w:pPr>
        <w:pStyle w:val="BodyText"/>
      </w:pPr>
      <w:r>
        <w:t xml:space="preserve">Correspondence concerning this article should be addressed to Kevin O’Neill, Department of Experimental Psychology, University College London, 26 Bedford Way, London, United Kingdom, Email:</w:t>
      </w:r>
      <w:r>
        <w:t xml:space="preserve"> </w:t>
      </w:r>
      <w:hyperlink r:id="rId36">
        <w:r>
          <w:rPr>
            <w:rStyle w:val="Hyperlink"/>
          </w:rPr>
          <w:t xml:space="preserve">kevin.o’neill@ucl.ac.uk</w:t>
        </w:r>
      </w:hyperlink>
    </w:p>
    <w:p>
      <w:r>
        <w:br w:type="page"/>
      </w:r>
    </w:p>
    <w:bookmarkEnd w:id="37"/>
    <w:bookmarkStart w:id="38" w:name="abstract"/>
    <w:p>
      <w:pPr>
        <w:pStyle w:val="Heading1"/>
      </w:pPr>
      <w:r>
        <w:t xml:space="preserve">Abstract</w:t>
      </w:r>
    </w:p>
    <w:p>
      <w:pPr>
        <w:pStyle w:val="AbstractFirstParagraph"/>
      </w:pPr>
      <w:r>
        <w:t xml:space="preserve">A longstanding goal in metacognition research is the quantification of confidence-related parameters independently from task performance. While there is now a proliferation of generative models of confidence in numerous psychological tasks, the meta-</w:t>
      </w:r>
      <m:oMath>
        <m:sSup>
          <m:e>
            <m:r>
              <m:t>d</m:t>
            </m:r>
          </m:e>
          <m:sup>
            <m:r>
              <m:rPr>
                <m:sty m:val="p"/>
              </m:rPr>
              <m:t>′</m:t>
            </m:r>
          </m:sup>
        </m:sSup>
      </m:oMath>
      <w:r>
        <w:t xml:space="preserve"> </w:t>
      </w:r>
      <w:r>
        <w:t xml:space="preserve">model remains a popular approach to estimating metacognitive sensitivity and metacognitive bias within a signal detection theoretic framework. However, as questions in metacognition research increase in complexity, it remains an ongoing challenge to develop extensions of the meta-</w:t>
      </w:r>
      <m:oMath>
        <m:sSup>
          <m:e>
            <m:r>
              <m:t>d</m:t>
            </m:r>
          </m:e>
          <m:sup>
            <m:r>
              <m:rPr>
                <m:sty m:val="p"/>
              </m:rPr>
              <m:t>′</m:t>
            </m:r>
          </m:sup>
        </m:sSup>
      </m:oMath>
      <w:r>
        <w:t xml:space="preserve"> </w:t>
      </w:r>
      <w:r>
        <w:t xml:space="preserve">model built to deal with longitudinal, repeated-measures, or other complex experimental designs. Here we introduce the open-source R package</w:t>
      </w:r>
      <w:r>
        <w:t xml:space="preserve"> </w:t>
      </w:r>
      <w:r>
        <w:rPr>
          <w:rStyle w:val="VerbatimChar"/>
        </w:rPr>
        <w:t xml:space="preserve">hmetad</w:t>
      </w:r>
      <w:r>
        <w:t xml:space="preserve">, which allows users to fit the meta-</w:t>
      </w:r>
      <m:oMath>
        <m:sSup>
          <m:e>
            <m:r>
              <m:t>d</m:t>
            </m:r>
          </m:e>
          <m:sup>
            <m:r>
              <m:rPr>
                <m:sty m:val="p"/>
              </m:rPr>
              <m:t>′</m:t>
            </m:r>
          </m:sup>
        </m:sSup>
      </m:oMath>
      <w:r>
        <w:t xml:space="preserve"> </w:t>
      </w:r>
      <w:r>
        <w:t xml:space="preserve">model for a wide range of experimental designs using a familiar formula syntax. We also review how the meta-</w:t>
      </w:r>
      <m:oMath>
        <m:sSup>
          <m:e>
            <m:r>
              <m:t>d</m:t>
            </m:r>
          </m:e>
          <m:sup>
            <m:r>
              <m:rPr>
                <m:sty m:val="p"/>
              </m:rPr>
              <m:t>′</m:t>
            </m:r>
          </m:sup>
        </m:sSup>
      </m:oMath>
      <w:r>
        <w:t xml:space="preserve"> </w:t>
      </w:r>
      <w:r>
        <w:t xml:space="preserve">model can be validated in a Bayesian workflow which investigates posterior estimates of key parameters. Overall, the</w:t>
      </w:r>
      <w:r>
        <w:t xml:space="preserve"> </w:t>
      </w:r>
      <w:r>
        <w:rPr>
          <w:rStyle w:val="VerbatimChar"/>
        </w:rPr>
        <w:t xml:space="preserve">hmetad</w:t>
      </w:r>
      <w:r>
        <w:t xml:space="preserve"> </w:t>
      </w:r>
      <w:r>
        <w:t xml:space="preserve">package offers a comprehensive interface to fitting, evaluating, and visualizing signal detection theoretic models of metacognition.</w:t>
      </w:r>
    </w:p>
    <w:p>
      <w:pPr>
        <w:pStyle w:val="BodyText"/>
      </w:pPr>
      <w:r>
        <w:rPr>
          <w:i/>
          <w:iCs/>
        </w:rPr>
        <w:t xml:space="preserve">Keywords</w:t>
      </w:r>
      <w:r>
        <w:t xml:space="preserve">: metacognition, Bayesian statistics, multilevel modeling</w:t>
      </w:r>
    </w:p>
    <w:p>
      <w:pPr>
        <w:pStyle w:val="BodyText"/>
      </w:pPr>
      <w:r>
        <w:rPr>
          <w:i/>
          <w:iCs/>
        </w:rPr>
        <w:t xml:space="preserve">Word Count</w:t>
      </w:r>
      <w:r>
        <w:t xml:space="preserve">: 12583</w:t>
      </w:r>
    </w:p>
    <w:p>
      <w:r>
        <w:br w:type="page"/>
      </w:r>
    </w:p>
    <w:bookmarkEnd w:id="38"/>
    <w:bookmarkStart w:id="39" w:name="firstheader"/>
    <w:p>
      <w:pPr>
        <w:pStyle w:val="Heading1"/>
      </w:pPr>
      <w:r>
        <w:t xml:space="preserve">Quantifying metacognition with the</w:t>
      </w:r>
      <w:r>
        <w:t xml:space="preserve"> </w:t>
      </w:r>
      <w:r>
        <w:rPr>
          <w:rStyle w:val="VerbatimChar"/>
        </w:rPr>
        <w:t xml:space="preserve">hmetad</w:t>
      </w:r>
      <w:r>
        <w:t xml:space="preserve"> </w:t>
      </w:r>
      <w:r>
        <w:t xml:space="preserve">package in R</w:t>
      </w:r>
    </w:p>
    <w:p>
      <w:pPr>
        <w:pStyle w:val="FirstParagraph"/>
      </w:pPr>
      <w:r>
        <w:t xml:space="preserve">Metacognition—the capacity to monitor and control one’s cognitive processes—is increasingly recognized as a core component of how we form and revise beliefs, how we make flexible decisions on the basis of incomplete evidence, how we dynamically gather information, and how we interact with others</w:t>
      </w:r>
      <w:r>
        <w:t xml:space="preserve"> </w:t>
      </w:r>
      <w:r>
        <w:t xml:space="preserve">(</w:t>
      </w:r>
      <w:hyperlink w:anchor="ref-fleming2024">
        <w:r>
          <w:rPr>
            <w:rStyle w:val="Hyperlink"/>
          </w:rPr>
          <w:t xml:space="preserve">Fleming, 2024</w:t>
        </w:r>
      </w:hyperlink>
      <w:r>
        <w:t xml:space="preserve">;</w:t>
      </w:r>
      <w:r>
        <w:t xml:space="preserve"> </w:t>
      </w:r>
      <w:hyperlink w:anchor="ref-peters2024">
        <w:r>
          <w:rPr>
            <w:rStyle w:val="Hyperlink"/>
          </w:rPr>
          <w:t xml:space="preserve">Peters, 2024</w:t>
        </w:r>
      </w:hyperlink>
      <w:r>
        <w:t xml:space="preserve">;</w:t>
      </w:r>
      <w:r>
        <w:t xml:space="preserve"> </w:t>
      </w:r>
      <w:hyperlink w:anchor="ref-rahnev2021">
        <w:r>
          <w:rPr>
            <w:rStyle w:val="Hyperlink"/>
          </w:rPr>
          <w:t xml:space="preserve">Rahnev, 2021</w:t>
        </w:r>
      </w:hyperlink>
      <w:r>
        <w:t xml:space="preserve">)</w:t>
      </w:r>
      <w:r>
        <w:t xml:space="preserve">. Progress in metacognition research is contingent upon the development of psychometric tools which isolate metacognitive contributions to behavior from performance-related factors. As a simple example, consider two participants (A and B) in a memory study, with participant A exhibiting a stronger correlation between memory accuracy and confidence. At first glance, this might appear to suggest that participant A has more sensitive metacognition. But if it is also found that participant A has better memory overall, then any observed difference in metacognition may simply be due to this difference in task performance</w:t>
      </w:r>
      <w:r>
        <w:t xml:space="preserve"> </w:t>
      </w:r>
      <w:r>
        <w:t xml:space="preserve">(</w:t>
      </w:r>
      <w:hyperlink w:anchor="ref-fleming2014">
        <w:r>
          <w:rPr>
            <w:rStyle w:val="Hyperlink"/>
          </w:rPr>
          <w:t xml:space="preserve">Fleming &amp; Lau, 2014</w:t>
        </w:r>
      </w:hyperlink>
      <w:r>
        <w:t xml:space="preserve">)</w:t>
      </w:r>
      <w:r>
        <w:t xml:space="preserve">.</w:t>
      </w:r>
    </w:p>
    <w:p>
      <w:pPr>
        <w:pStyle w:val="BodyText"/>
      </w:pPr>
      <w:r>
        <w:t xml:space="preserve">In response to this challenge of isolating metacognitive capacity from other aspects of task performance, researchers studying metacognition have developed a range of models and measures that explicitly aim to control for performance confounds</w:t>
      </w:r>
      <w:r>
        <w:t xml:space="preserve"> </w:t>
      </w:r>
      <w:r>
        <w:t xml:space="preserve">(</w:t>
      </w:r>
      <w:hyperlink w:anchor="ref-rahnev2025">
        <w:r>
          <w:rPr>
            <w:rStyle w:val="Hyperlink"/>
          </w:rPr>
          <w:t xml:space="preserve">Rahnev, 2025</w:t>
        </w:r>
      </w:hyperlink>
      <w:r>
        <w:t xml:space="preserve">)</w:t>
      </w:r>
      <w:r>
        <w:t xml:space="preserve">. Measures typically target either metacognitive efficiency (i.e., the strength of the relationship between confidence ratings and accuracy relative to task performance) or metacognitive bias (i.e., the overall level of confidence), which are themselves potential confounds for each other. One such model—the</w:t>
      </w:r>
      <w:r>
        <w:t xml:space="preserve"> </w:t>
      </w:r>
      <m:oMath>
        <m:r>
          <m:rPr>
            <m:nor/>
            <m:sty m:val="p"/>
          </m:rPr>
          <m:t>meta-</m:t>
        </m:r>
        <m:sSup>
          <m:e>
            <m:r>
              <m:t>d</m:t>
            </m:r>
          </m:e>
          <m:sup>
            <m:r>
              <m:rPr>
                <m:sty m:val="p"/>
              </m:rPr>
              <m:t>′</m:t>
            </m:r>
          </m:sup>
        </m:sSup>
      </m:oMath>
      <w:r>
        <w:t xml:space="preserve"> </w:t>
      </w:r>
      <w:r>
        <w:t xml:space="preserve">model—builds on Signal Detection Theory to estimate two sensitivity parameters. In this model,</w:t>
      </w:r>
      <w:r>
        <w:t xml:space="preserve"> </w:t>
      </w:r>
      <m:oMath>
        <m:sSup>
          <m:e>
            <m:r>
              <m:t>d</m:t>
            </m:r>
          </m:e>
          <m:sup>
            <m:r>
              <m:rPr>
                <m:sty m:val="p"/>
              </m:rPr>
              <m:t>′</m:t>
            </m:r>
          </m:sup>
        </m:sSup>
      </m:oMath>
      <w:r>
        <w:t xml:space="preserve"> </w:t>
      </w:r>
      <w:r>
        <w:t xml:space="preserve">reflects participants’ sensitivity to the stimulus when making a first-order response to the task, whereas</w:t>
      </w:r>
      <w:r>
        <w:t xml:space="preserve"> </w:t>
      </w:r>
      <m:oMath>
        <m:r>
          <m:rPr>
            <m:nor/>
            <m:sty m:val="p"/>
          </m:rPr>
          <m:t>meta-</m:t>
        </m:r>
        <m:sSup>
          <m:e>
            <m:r>
              <m:t>d</m:t>
            </m:r>
          </m:e>
          <m:sup>
            <m:r>
              <m:rPr>
                <m:sty m:val="p"/>
              </m:rPr>
              <m:t>′</m:t>
            </m:r>
          </m:sup>
        </m:sSup>
      </m:oMath>
      <w:r>
        <w:t xml:space="preserve"> </w:t>
      </w:r>
      <w:r>
        <w:t xml:space="preserve">reflects the same sensitivity expressed through confidence ratings</w:t>
      </w:r>
      <w:r>
        <w:t xml:space="preserve"> </w:t>
      </w:r>
      <w:r>
        <w:t xml:space="preserve">(</w:t>
      </w:r>
      <w:hyperlink w:anchor="ref-maniscalco2012">
        <w:r>
          <w:rPr>
            <w:rStyle w:val="Hyperlink"/>
          </w:rPr>
          <w:t xml:space="preserve">Maniscalco &amp; Lau, 2012</w:t>
        </w:r>
      </w:hyperlink>
      <w:r>
        <w:t xml:space="preserve">,</w:t>
      </w:r>
      <w:r>
        <w:t xml:space="preserve"> </w:t>
      </w:r>
      <w:hyperlink w:anchor="ref-maniscalco2014">
        <w:r>
          <w:rPr>
            <w:rStyle w:val="Hyperlink"/>
          </w:rPr>
          <w:t xml:space="preserve">2014</w:t>
        </w:r>
      </w:hyperlink>
      <w:r>
        <w:t xml:space="preserve">)</w:t>
      </w:r>
      <w:r>
        <w:t xml:space="preserve">. Comparing the two sensitivities results in a measure of metacognitive efficiency,</w:t>
      </w:r>
      <w:r>
        <w:t xml:space="preserve"> </w:t>
      </w:r>
      <m:oMath>
        <m:f>
          <m:fPr>
            <m:type m:val="bar"/>
          </m:fPr>
          <m:num>
            <m:r>
              <m:rPr>
                <m:nor/>
                <m:sty m:val="p"/>
              </m:rPr>
              <m:t>meta-</m:t>
            </m:r>
            <m:sSup>
              <m:e>
                <m:r>
                  <m:t>d</m:t>
                </m:r>
              </m:e>
              <m:sup>
                <m:r>
                  <m:rPr>
                    <m:sty m:val="p"/>
                  </m:rPr>
                  <m:t>′</m:t>
                </m:r>
              </m:sup>
            </m:sSup>
          </m:num>
          <m:den>
            <m:sSup>
              <m:e>
                <m:r>
                  <m:t>d</m:t>
                </m:r>
              </m:e>
              <m:sup>
                <m:r>
                  <m:rPr>
                    <m:sty m:val="p"/>
                  </m:rPr>
                  <m:t>′</m:t>
                </m:r>
              </m:sup>
            </m:sSup>
          </m:den>
        </m:f>
      </m:oMath>
      <w:r>
        <w:t xml:space="preserve">, commonly known as</w:t>
      </w:r>
      <w:r>
        <w:t xml:space="preserve"> </w:t>
      </w:r>
      <m:oMath>
        <m:r>
          <m:t>M</m:t>
        </m:r>
      </m:oMath>
      <w:r>
        <w:t xml:space="preserve">-ratio</w:t>
      </w:r>
      <w:r>
        <w:t xml:space="preserve"> </w:t>
      </w:r>
      <w:r>
        <w:t xml:space="preserve">(</w:t>
      </w:r>
      <w:hyperlink w:anchor="ref-fleming2014">
        <w:r>
          <w:rPr>
            <w:rStyle w:val="Hyperlink"/>
          </w:rPr>
          <w:t xml:space="preserve">Fleming &amp; Lau, 2014</w:t>
        </w:r>
      </w:hyperlink>
      <w:r>
        <w:t xml:space="preserve">)</w:t>
      </w:r>
      <w:r>
        <w:t xml:space="preserve">. The</w:t>
      </w:r>
      <w:r>
        <w:t xml:space="preserve"> </w:t>
      </w:r>
      <m:oMath>
        <m:r>
          <m:rPr>
            <m:nor/>
            <m:sty m:val="p"/>
          </m:rPr>
          <m:t>meta-</m:t>
        </m:r>
        <m:sSup>
          <m:e>
            <m:r>
              <m:t>d</m:t>
            </m:r>
          </m:e>
          <m:sup>
            <m:r>
              <m:rPr>
                <m:sty m:val="p"/>
              </m:rPr>
              <m:t>′</m:t>
            </m:r>
          </m:sup>
        </m:sSup>
      </m:oMath>
      <w:r>
        <w:t xml:space="preserve"> </w:t>
      </w:r>
      <w:r>
        <w:t xml:space="preserve">model is currently the most widely used measure of metacognition, partly due to the implementation of hierarchical Bayesian estimation routines that provide stronger statistical power and less estimation bias than single-participant model fits</w:t>
      </w:r>
      <w:r>
        <w:t xml:space="preserve"> </w:t>
      </w:r>
      <w:r>
        <w:t xml:space="preserve">(</w:t>
      </w:r>
      <w:hyperlink w:anchor="ref-fleming2017">
        <w:r>
          <w:rPr>
            <w:rStyle w:val="Hyperlink"/>
          </w:rPr>
          <w:t xml:space="preserve">Fleming, 2017</w:t>
        </w:r>
      </w:hyperlink>
      <w:r>
        <w:t xml:space="preserve">)</w:t>
      </w:r>
      <w:r>
        <w:t xml:space="preserve">.</w:t>
      </w:r>
    </w:p>
    <w:p>
      <w:pPr>
        <w:pStyle w:val="BodyText"/>
      </w:pPr>
      <w:r>
        <w:t xml:space="preserve">Despite these advances, there remain significant barriers to modeling metacognition. Recent evidence indicates that the separation of metacognitive factors assumed by the</w:t>
      </w:r>
      <w:r>
        <w:t xml:space="preserve"> </w:t>
      </w:r>
      <m:oMath>
        <m:r>
          <m:rPr>
            <m:nor/>
            <m:sty m:val="p"/>
          </m:rPr>
          <m:t>meta-</m:t>
        </m:r>
        <m:sSup>
          <m:e>
            <m:r>
              <m:t>d</m:t>
            </m:r>
          </m:e>
          <m:sup>
            <m:r>
              <m:rPr>
                <m:sty m:val="p"/>
              </m:rPr>
              <m:t>′</m:t>
            </m:r>
          </m:sup>
        </m:sSup>
      </m:oMath>
      <w:r>
        <w:t xml:space="preserve"> </w:t>
      </w:r>
      <w:r>
        <w:t xml:space="preserve">model is not guaranteed</w:t>
      </w:r>
      <w:r>
        <w:t xml:space="preserve"> </w:t>
      </w:r>
      <w:r>
        <w:t xml:space="preserve">(e.g.,</w:t>
      </w:r>
      <w:r>
        <w:t xml:space="preserve"> </w:t>
      </w:r>
      <w:hyperlink w:anchor="ref-guggenmos2021">
        <w:r>
          <w:rPr>
            <w:rStyle w:val="Hyperlink"/>
          </w:rPr>
          <w:t xml:space="preserve">Guggenmos, 2021</w:t>
        </w:r>
      </w:hyperlink>
      <w:r>
        <w:t xml:space="preserve">;</w:t>
      </w:r>
      <w:r>
        <w:t xml:space="preserve"> </w:t>
      </w:r>
      <w:hyperlink w:anchor="ref-rausch2023">
        <w:r>
          <w:rPr>
            <w:rStyle w:val="Hyperlink"/>
          </w:rPr>
          <w:t xml:space="preserve">Rausch et al., 2026</w:t>
        </w:r>
      </w:hyperlink>
      <w:r>
        <w:t xml:space="preserve">;</w:t>
      </w:r>
      <w:r>
        <w:t xml:space="preserve"> </w:t>
      </w:r>
      <w:hyperlink w:anchor="ref-xue2021">
        <w:r>
          <w:rPr>
            <w:rStyle w:val="Hyperlink"/>
          </w:rPr>
          <w:t xml:space="preserve">Xue et al., 2021</w:t>
        </w:r>
      </w:hyperlink>
      <w:r>
        <w:t xml:space="preserve">)</w:t>
      </w:r>
      <w:r>
        <w:t xml:space="preserve">. Moreover, existing implementations of the model are specific to simple experimental designs, meaning that users must develop their own analysis software to accommodate more complex designs. Previous implementations also have limited convergence diagnostics, making it sometimes unclear whether the approximations used by fitted models are sufficient for well-calibrated inference, and lack direct interfaces with other statistical software, complicating the computation of rigorous statistical tests using model outputs. Although it has been suggested that the study of metacognition should benefit from models including trial-level predictors (e.g., neural activity or previous confidence level), trial-level models have been too cumbersome to fit in practice</w:t>
      </w:r>
      <w:r>
        <w:t xml:space="preserve"> </w:t>
      </w:r>
      <w:r>
        <w:t xml:space="preserve">(</w:t>
      </w:r>
      <w:hyperlink w:anchor="ref-fleming2017">
        <w:r>
          <w:rPr>
            <w:rStyle w:val="Hyperlink"/>
          </w:rPr>
          <w:t xml:space="preserve">Fleming, 2017</w:t>
        </w:r>
      </w:hyperlink>
      <w:r>
        <w:t xml:space="preserve">)</w:t>
      </w:r>
      <w:r>
        <w:t xml:space="preserve">. Finally, although significant attention has been paid to measures of metacognitive efficiency, less research has focused on metacognitive bias, let alone modeling both efficiency and bias in a single comprehensive framework.</w:t>
      </w:r>
    </w:p>
    <w:p>
      <w:pPr>
        <w:pStyle w:val="BodyText"/>
      </w:pPr>
      <w:r>
        <w:t xml:space="preserve">Here we introduce the</w:t>
      </w:r>
      <w:r>
        <w:t xml:space="preserve"> </w:t>
      </w:r>
      <w:r>
        <w:rPr>
          <w:rStyle w:val="VerbatimChar"/>
        </w:rPr>
        <w:t xml:space="preserve">hmetad</w:t>
      </w:r>
      <w:r>
        <w:t xml:space="preserve"> </w:t>
      </w:r>
      <w:r>
        <w:t xml:space="preserve">package, a new open-source platform for hierarchical Bayesian estimation of the</w:t>
      </w:r>
      <w:r>
        <w:t xml:space="preserve"> </w:t>
      </w:r>
      <m:oMath>
        <m:r>
          <m:rPr>
            <m:nor/>
            <m:sty m:val="p"/>
          </m:rPr>
          <m:t>meta-</m:t>
        </m:r>
        <m:sSup>
          <m:e>
            <m:r>
              <m:t>d</m:t>
            </m:r>
          </m:e>
          <m:sup>
            <m:r>
              <m:rPr>
                <m:sty m:val="p"/>
              </m:rPr>
              <m:t>′</m:t>
            </m:r>
          </m:sup>
        </m:sSup>
      </m:oMath>
      <w:r>
        <w:t xml:space="preserve"> </w:t>
      </w:r>
      <w:r>
        <w:t xml:space="preserve">model in the programming language R. As an extension of the more general statistical package</w:t>
      </w:r>
      <w:r>
        <w:t xml:space="preserve"> </w:t>
      </w:r>
      <w:r>
        <w:rPr>
          <w:rStyle w:val="VerbatimChar"/>
        </w:rPr>
        <w:t xml:space="preserve">brms</w:t>
      </w:r>
      <w:r>
        <w:t xml:space="preserve">, the</w:t>
      </w:r>
      <w:r>
        <w:t xml:space="preserve"> </w:t>
      </w:r>
      <w:r>
        <w:rPr>
          <w:rStyle w:val="VerbatimChar"/>
        </w:rPr>
        <w:t xml:space="preserve">hmetad</w:t>
      </w:r>
      <w:r>
        <w:t xml:space="preserve"> </w:t>
      </w:r>
      <w:r>
        <w:t xml:space="preserve">package provides a simple formula syntax to specify arbitrary model designs, thorough model convergence diagnostics, and interfacing with other packages for model validation, statistical testing, and visualization in R. Beyond several improvements to computational efficiency, the</w:t>
      </w:r>
      <w:r>
        <w:t xml:space="preserve"> </w:t>
      </w:r>
      <w:r>
        <w:rPr>
          <w:rStyle w:val="VerbatimChar"/>
        </w:rPr>
        <w:t xml:space="preserve">hmetad</w:t>
      </w:r>
      <w:r>
        <w:t xml:space="preserve"> </w:t>
      </w:r>
      <w:r>
        <w:t xml:space="preserve">package also computes model estimates and empirical values of a range of imputed quantities popular in metacognition research, including various response probabilities and Receiver Operating Characteristic (ROC) curves. Moreover, the</w:t>
      </w:r>
      <w:r>
        <w:t xml:space="preserve"> </w:t>
      </w:r>
      <w:r>
        <w:rPr>
          <w:rStyle w:val="VerbatimChar"/>
        </w:rPr>
        <w:t xml:space="preserve">hmetad</w:t>
      </w:r>
      <w:r>
        <w:t xml:space="preserve"> </w:t>
      </w:r>
      <w:r>
        <w:t xml:space="preserve">package jointly models task performance, response bias, metacognitive efficiency, as well as</w:t>
      </w:r>
      <w:r>
        <w:t xml:space="preserve"> </w:t>
      </w:r>
      <m:oMath>
        <m:r>
          <m:rPr>
            <m:nor/>
            <m:sty m:val="p"/>
          </m:rPr>
          <m:t>meta-</m:t>
        </m:r>
        <m:r>
          <m:rPr>
            <m:sty m:val="p"/>
          </m:rPr>
          <m:t>Δ</m:t>
        </m:r>
      </m:oMath>
      <w:r>
        <w:t xml:space="preserve">, a new performance-corrected measure of metacognitive bias</w:t>
      </w:r>
      <w:r>
        <w:t xml:space="preserve"> </w:t>
      </w:r>
      <w:r>
        <w:t xml:space="preserve">(</w:t>
      </w:r>
      <w:hyperlink w:anchor="ref-oneill2026">
        <w:r>
          <w:rPr>
            <w:rStyle w:val="Hyperlink"/>
          </w:rPr>
          <w:t xml:space="preserve">O’Neill et al., 2026</w:t>
        </w:r>
      </w:hyperlink>
      <w:r>
        <w:t xml:space="preserve">)</w:t>
      </w:r>
      <w:r>
        <w:t xml:space="preserve">, all as part of a single model.</w:t>
      </w:r>
    </w:p>
    <w:p>
      <w:pPr>
        <w:pStyle w:val="BodyText"/>
      </w:pPr>
      <w:r>
        <w:t xml:space="preserve">After outlining the</w:t>
      </w:r>
      <w:r>
        <w:t xml:space="preserve"> </w:t>
      </w:r>
      <m:oMath>
        <m:r>
          <m:rPr>
            <m:nor/>
            <m:sty m:val="p"/>
          </m:rPr>
          <m:t>meta-</m:t>
        </m:r>
        <m:sSup>
          <m:e>
            <m:r>
              <m:t>d</m:t>
            </m:r>
          </m:e>
          <m:sup>
            <m:r>
              <m:rPr>
                <m:sty m:val="p"/>
              </m:rPr>
              <m:t>′</m:t>
            </m:r>
          </m:sup>
        </m:sSup>
      </m:oMath>
      <w:r>
        <w:t xml:space="preserve"> </w:t>
      </w:r>
      <w:r>
        <w:t xml:space="preserve">model, we demonstrate the functionality of the</w:t>
      </w:r>
      <w:r>
        <w:t xml:space="preserve"> </w:t>
      </w:r>
      <w:r>
        <w:rPr>
          <w:rStyle w:val="VerbatimChar"/>
        </w:rPr>
        <w:t xml:space="preserve">hmetad</w:t>
      </w:r>
      <w:r>
        <w:t xml:space="preserve"> </w:t>
      </w:r>
      <w:r>
        <w:t xml:space="preserve">package by re-analyzing an open dataset investigating associations between mental health and metacognition</w:t>
      </w:r>
      <w:r>
        <w:t xml:space="preserve"> </w:t>
      </w:r>
      <w:r>
        <w:t xml:space="preserve">(</w:t>
      </w:r>
      <w:hyperlink w:anchor="ref-rouault2018">
        <w:r>
          <w:rPr>
            <w:rStyle w:val="Hyperlink"/>
          </w:rPr>
          <w:t xml:space="preserve">Rouault et al., 2018</w:t>
        </w:r>
      </w:hyperlink>
      <w:r>
        <w:t xml:space="preserve">)</w:t>
      </w:r>
      <w:r>
        <w:t xml:space="preserve">. Rather than recommending a fixed set of defaults, we highlight how a principled Bayesian workflow recommended elsewhere in Bayesian statistics can guide modeling choices</w:t>
      </w:r>
      <w:r>
        <w:t xml:space="preserve"> </w:t>
      </w:r>
      <w:r>
        <w:t xml:space="preserve">(</w:t>
      </w:r>
      <w:hyperlink w:anchor="ref-gelman2026">
        <w:r>
          <w:rPr>
            <w:rStyle w:val="Hyperlink"/>
          </w:rPr>
          <w:t xml:space="preserve">Gelman et al.</w:t>
        </w:r>
        <w:r>
          <w:rPr>
            <w:rStyle w:val="Hyperlink"/>
          </w:rPr>
          <w:t xml:space="preserve">, 2026</w:t>
        </w:r>
      </w:hyperlink>
      <w:r>
        <w:t xml:space="preserve">;</w:t>
      </w:r>
      <w:r>
        <w:t xml:space="preserve"> </w:t>
      </w:r>
      <w:hyperlink w:anchor="ref-schad2021">
        <w:r>
          <w:rPr>
            <w:rStyle w:val="Hyperlink"/>
          </w:rPr>
          <w:t xml:space="preserve">Schad et al., 2021</w:t>
        </w:r>
      </w:hyperlink>
      <w:r>
        <w:t xml:space="preserve">)</w:t>
      </w:r>
      <w:r>
        <w:t xml:space="preserve">. Overall, we argue that the</w:t>
      </w:r>
      <w:r>
        <w:t xml:space="preserve"> </w:t>
      </w:r>
      <w:r>
        <w:rPr>
          <w:rStyle w:val="VerbatimChar"/>
        </w:rPr>
        <w:t xml:space="preserve">hmetad</w:t>
      </w:r>
      <w:r>
        <w:t xml:space="preserve"> </w:t>
      </w:r>
      <w:r>
        <w:t xml:space="preserve">package can help to address concerns in metacognition research about statistical power, reliability, and sensitivity to distributional assumptions, while at the same time opening the door to rigorously addressing a broader set of research questions.</w:t>
      </w:r>
    </w:p>
    <w:bookmarkEnd w:id="39"/>
    <w:bookmarkStart w:id="64" w:name="the-textrmmeta-d-model"/>
    <w:p>
      <w:pPr>
        <w:pStyle w:val="Heading1"/>
      </w:pPr>
      <w:r>
        <w:t xml:space="preserve">The</w:t>
      </w:r>
      <w:r>
        <w:t xml:space="preserve"> </w:t>
      </w:r>
      <m:oMath>
        <m:r>
          <m:rPr>
            <m:nor/>
            <m:sty m:val="p"/>
          </m:rPr>
          <m:t>meta-</m:t>
        </m:r>
        <m:sSup>
          <m:e>
            <m:r>
              <m:t>d</m:t>
            </m:r>
          </m:e>
          <m:sup>
            <m:r>
              <m:rPr>
                <m:sty m:val="p"/>
              </m:rPr>
              <m:t>′</m:t>
            </m:r>
          </m:sup>
        </m:sSup>
      </m:oMath>
      <w:r>
        <w:t xml:space="preserve"> </w:t>
      </w:r>
      <w:r>
        <w:t xml:space="preserve">model</w:t>
      </w:r>
    </w:p>
    <w:p>
      <w:pPr>
        <w:pStyle w:val="FirstParagraph"/>
      </w:pPr>
      <w:r>
        <w:t xml:space="preserve">In this section, we review the</w:t>
      </w:r>
      <w:r>
        <w:t xml:space="preserve"> </w:t>
      </w:r>
      <m:oMath>
        <m:r>
          <m:rPr>
            <m:nor/>
            <m:sty m:val="p"/>
          </m:rPr>
          <m:t>meta-</m:t>
        </m:r>
        <m:sSup>
          <m:e>
            <m:r>
              <m:t>d</m:t>
            </m:r>
          </m:e>
          <m:sup>
            <m:r>
              <m:rPr>
                <m:sty m:val="p"/>
              </m:rPr>
              <m:t>′</m:t>
            </m:r>
          </m:sup>
        </m:sSup>
      </m:oMath>
      <w:r>
        <w:t xml:space="preserve"> </w:t>
      </w:r>
      <w:r>
        <w:t xml:space="preserve">model, focusing on its generative mechanism for confidence ratings and the unique parameterization of the model used in the</w:t>
      </w:r>
      <w:r>
        <w:t xml:space="preserve"> </w:t>
      </w:r>
      <w:r>
        <w:rPr>
          <w:rStyle w:val="VerbatimChar"/>
        </w:rPr>
        <w:t xml:space="preserve">hmetad</w:t>
      </w:r>
      <w:r>
        <w:t xml:space="preserve"> </w:t>
      </w:r>
      <w:r>
        <w:t xml:space="preserve">package.</w:t>
      </w:r>
    </w:p>
    <w:bookmarkStart w:id="47" w:name="data"/>
    <w:p>
      <w:pPr>
        <w:pStyle w:val="Heading2"/>
      </w:pPr>
      <w:r>
        <w:t xml:space="preserve">Data</w:t>
      </w:r>
    </w:p>
    <w:p>
      <w:pPr>
        <w:pStyle w:val="FirstParagraph"/>
      </w:pPr>
      <w:r>
        <w:t xml:space="preserve">The</w:t>
      </w:r>
      <w:r>
        <w:t xml:space="preserve"> </w:t>
      </w:r>
      <m:oMath>
        <m:r>
          <m:rPr>
            <m:nor/>
            <m:sty m:val="p"/>
          </m:rPr>
          <m:t>meta-</m:t>
        </m:r>
        <m:sSup>
          <m:e>
            <m:r>
              <m:t>d</m:t>
            </m:r>
          </m:e>
          <m:sup>
            <m:r>
              <m:rPr>
                <m:sty m:val="p"/>
              </m:rPr>
              <m:t>′</m:t>
            </m:r>
          </m:sup>
        </m:sSup>
      </m:oMath>
      <w:r>
        <w:t xml:space="preserve"> </w:t>
      </w:r>
      <w:r>
        <w:t xml:space="preserve">model can be used to describe data from binary choice tasks with ordinal-valued confidence ratings (</w:t>
      </w:r>
      <w:hyperlink w:anchor="fig-paradigm">
        <w:r>
          <w:rPr>
            <w:rStyle w:val="Hyperlink"/>
          </w:rPr>
          <w:t xml:space="preserve">Figure 1</w:t>
        </w:r>
      </w:hyperlink>
      <w:r>
        <w:t xml:space="preserve">A). That is, given a stimulus</w:t>
      </w:r>
      <w:r>
        <w:t xml:space="preserve"> </w:t>
      </w:r>
      <m:oMath>
        <m:r>
          <m:t>S</m:t>
        </m:r>
        <m:r>
          <m:rPr>
            <m:sty m:val="p"/>
          </m:rPr>
          <m:t>∈</m:t>
        </m:r>
        <m:r>
          <m:rPr>
            <m:sty m:val="p"/>
          </m:rPr>
          <m:t>{</m:t>
        </m:r>
        <m:r>
          <m:t>0</m:t>
        </m:r>
        <m:r>
          <m:rPr>
            <m:sty m:val="p"/>
          </m:rPr>
          <m:t>,</m:t>
        </m:r>
        <m:r>
          <m:t>1</m:t>
        </m:r>
        <m:r>
          <m:rPr>
            <m:sty m:val="p"/>
          </m:rPr>
          <m:t>}</m:t>
        </m:r>
      </m:oMath>
      <w:r>
        <w:t xml:space="preserve">, the participant is asked to make a response</w:t>
      </w:r>
      <w:r>
        <w:t xml:space="preserve"> </w:t>
      </w:r>
      <m:oMath>
        <m:r>
          <m:t>R</m:t>
        </m:r>
        <m:r>
          <m:rPr>
            <m:sty m:val="p"/>
          </m:rPr>
          <m:t>∈</m:t>
        </m:r>
        <m:r>
          <m:rPr>
            <m:sty m:val="p"/>
          </m:rPr>
          <m:t>{</m:t>
        </m:r>
        <m:r>
          <m:t>0</m:t>
        </m:r>
        <m:r>
          <m:rPr>
            <m:sty m:val="p"/>
          </m:rPr>
          <m:t>,</m:t>
        </m:r>
        <m:r>
          <m:t>1</m:t>
        </m:r>
        <m:r>
          <m:rPr>
            <m:sty m:val="p"/>
          </m:rPr>
          <m:t>}</m:t>
        </m:r>
      </m:oMath>
      <w:r>
        <w:t xml:space="preserve"> </w:t>
      </w:r>
      <w:r>
        <w:t xml:space="preserve">along with a confidence rating</w:t>
      </w:r>
      <w:r>
        <w:t xml:space="preserve"> </w:t>
      </w:r>
      <m:oMath>
        <m:r>
          <m:t>C</m:t>
        </m:r>
        <m:r>
          <m:rPr>
            <m:sty m:val="p"/>
          </m:rPr>
          <m:t>∈</m:t>
        </m:r>
        <m:r>
          <m:rPr>
            <m:sty m:val="p"/>
          </m:rPr>
          <m:t>{</m:t>
        </m:r>
        <m:r>
          <m:t>1</m:t>
        </m:r>
        <m:r>
          <m:rPr>
            <m:sty m:val="p"/>
          </m:rPr>
          <m:t>,</m:t>
        </m:r>
        <m:r>
          <m:rPr>
            <m:sty m:val="p"/>
          </m:rPr>
          <m:t>…</m:t>
        </m:r>
        <m:r>
          <m:rPr>
            <m:sty m:val="p"/>
          </m:rPr>
          <m:t>,</m:t>
        </m:r>
        <m:r>
          <m:t>K</m:t>
        </m:r>
        <m:r>
          <m:rPr>
            <m:sty m:val="p"/>
          </m:rPr>
          <m:t>}</m:t>
        </m:r>
      </m:oMath>
      <w:r>
        <w:t xml:space="preserve"> </w:t>
      </w:r>
      <w:r>
        <w:t xml:space="preserve">(where</w:t>
      </w:r>
      <w:r>
        <w:t xml:space="preserve"> </w:t>
      </w:r>
      <m:oMath>
        <m:r>
          <m:t>K</m:t>
        </m:r>
      </m:oMath>
      <w:r>
        <w:t xml:space="preserve"> </w:t>
      </w:r>
      <w:r>
        <w:t xml:space="preserve">is the maximum confidence rating), such that the participant’s decision is correct if</w:t>
      </w:r>
      <w:r>
        <w:t xml:space="preserve"> </w:t>
      </w:r>
      <m:oMath>
        <m:r>
          <m:t>R</m:t>
        </m:r>
        <m:r>
          <m:rPr>
            <m:sty m:val="p"/>
          </m:rPr>
          <m:t>=</m:t>
        </m:r>
        <m:r>
          <m:t>S</m:t>
        </m:r>
      </m:oMath>
      <w:r>
        <w:t xml:space="preserve">. For instance, participants might be asked to judge whether a stimulus is old (i.e., presented in a prior study phase) or new, determine whether a random dot motion stimulus is moving left or right, or decide which of two food items contains more calories. Along with the primary decision, participants are asked to rate their confidence in their decision on an ordinal scale indicating whether their decision was a guess, made with high confidence, or somewhere in between.</w:t>
      </w:r>
      <w:r>
        <w:rPr>
          <w:rStyle w:val="FootnoteReference"/>
        </w:rPr>
        <w:footnoteReference w:id="40"/>
      </w:r>
      <w:r>
        <w:t xml:space="preserve"> </w:t>
      </w:r>
      <w:r>
        <w:t xml:space="preserve">Following</w:t>
      </w:r>
      <w:r>
        <w:t xml:space="preserve"> </w:t>
      </w:r>
      <w:r>
        <w:t xml:space="preserve">Clarke et al. (</w:t>
      </w:r>
      <w:hyperlink w:anchor="ref-clarke1959">
        <w:r>
          <w:rPr>
            <w:rStyle w:val="Hyperlink"/>
          </w:rPr>
          <w:t xml:space="preserve">1959</w:t>
        </w:r>
      </w:hyperlink>
      <w:r>
        <w:t xml:space="preserve">)</w:t>
      </w:r>
      <w:r>
        <w:t xml:space="preserve">, we refer to the primary decision as the</w:t>
      </w:r>
      <w:r>
        <w:t xml:space="preserve"> </w:t>
      </w:r>
      <w:r>
        <w:rPr>
          <w:i/>
          <w:iCs/>
        </w:rPr>
        <w:t xml:space="preserve">Type I</w:t>
      </w:r>
      <w:r>
        <w:t xml:space="preserve"> </w:t>
      </w:r>
      <w:r>
        <w:t xml:space="preserve">task and the task of rating confidence as the</w:t>
      </w:r>
      <w:r>
        <w:t xml:space="preserve"> </w:t>
      </w:r>
      <w:r>
        <w:rPr>
          <w:i/>
          <w:iCs/>
        </w:rPr>
        <w:t xml:space="preserve">Type II</w:t>
      </w:r>
      <w:r>
        <w:t xml:space="preserve"> </w:t>
      </w:r>
      <w:r>
        <w:t xml:space="preserve">task.</w:t>
      </w:r>
    </w:p>
    <w:p>
      <w:pPr>
        <w:pStyle w:val="BodyText"/>
      </w:pPr>
      <w:r>
        <w:t xml:space="preserve">While it is designed for experimental paradigms with separate Type I and Type II decisions, the</w:t>
      </w:r>
      <w:r>
        <w:t xml:space="preserve"> </w:t>
      </w:r>
      <m:oMath>
        <m:r>
          <m:rPr>
            <m:nor/>
            <m:sty m:val="p"/>
          </m:rPr>
          <m:t>meta-</m:t>
        </m:r>
        <m:sSup>
          <m:e>
            <m:r>
              <m:t>d</m:t>
            </m:r>
          </m:e>
          <m:sup>
            <m:r>
              <m:rPr>
                <m:sty m:val="p"/>
              </m:rPr>
              <m:t>′</m:t>
            </m:r>
          </m:sup>
        </m:sSup>
      </m:oMath>
      <w:r>
        <w:t xml:space="preserve"> </w:t>
      </w:r>
      <w:r>
        <w:t xml:space="preserve">model is also compatible with paradigms in which the participants make a single joint Type I/Type II response with endpoints representing a confident decision in either of the two Type I responses and with the center representing low confidence (</w:t>
      </w:r>
      <m:oMath>
        <m:r>
          <m:t>J</m:t>
        </m:r>
        <m:r>
          <m:rPr>
            <m:sty m:val="p"/>
          </m:rPr>
          <m:t>∈</m:t>
        </m:r>
        <m:r>
          <m:rPr>
            <m:sty m:val="p"/>
          </m:rPr>
          <m:t>{</m:t>
        </m:r>
        <m:r>
          <m:t>1</m:t>
        </m:r>
        <m:r>
          <m:rPr>
            <m:sty m:val="p"/>
          </m:rPr>
          <m:t>,</m:t>
        </m:r>
        <m:r>
          <m:rPr>
            <m:sty m:val="p"/>
          </m:rPr>
          <m:t>…</m:t>
        </m:r>
        <m:r>
          <m:rPr>
            <m:sty m:val="p"/>
          </m:rPr>
          <m:t>,</m:t>
        </m:r>
        <m:r>
          <m:t>2</m:t>
        </m:r>
        <m:r>
          <m:t>K</m:t>
        </m:r>
        <m:r>
          <m:rPr>
            <m:sty m:val="p"/>
          </m:rPr>
          <m:t>}</m:t>
        </m:r>
      </m:oMath>
      <w:r>
        <w:t xml:space="preserve">, see</w:t>
      </w:r>
      <w:r>
        <w:t xml:space="preserve"> </w:t>
      </w:r>
      <w:hyperlink w:anchor="fig-paradigm">
        <w:r>
          <w:rPr>
            <w:rStyle w:val="Hyperlink"/>
          </w:rPr>
          <w:t xml:space="preserve">Figure 1</w:t>
        </w:r>
      </w:hyperlink>
      <w:r>
        <w:t xml:space="preserve">B).</w:t>
      </w:r>
      <w:r>
        <w:rPr>
          <w:rStyle w:val="FootnoteReference"/>
        </w:rPr>
        <w:footnoteReference w:id="41"/>
      </w:r>
      <w:r>
        <w:t xml:space="preserve"> </w:t>
      </w:r>
      <w:r>
        <w:t xml:space="preserve">This design is often advantageous because it takes less time than separate responses and it reduces the likelihood that a participant changes their mind between responses. One can convert between the separate and joint responses using the equations below, implemented as the functions</w:t>
      </w:r>
      <w:r>
        <w:t xml:space="preserve"> </w:t>
      </w:r>
      <w:r>
        <w:rPr>
          <w:rStyle w:val="VerbatimChar"/>
        </w:rPr>
        <w:t xml:space="preserve">type1_response</w:t>
      </w:r>
      <w:r>
        <w:t xml:space="preserve">,</w:t>
      </w:r>
      <w:r>
        <w:t xml:space="preserve"> </w:t>
      </w:r>
      <w:r>
        <w:rPr>
          <w:rStyle w:val="VerbatimChar"/>
        </w:rPr>
        <w:t xml:space="preserve">type2_response</w:t>
      </w:r>
      <w:r>
        <w:t xml:space="preserve">, and</w:t>
      </w:r>
      <w:r>
        <w:t xml:space="preserve"> </w:t>
      </w:r>
      <w:r>
        <w:rPr>
          <w:rStyle w:val="VerbatimChar"/>
        </w:rPr>
        <w:t xml:space="preserve">joint_response</w:t>
      </w:r>
      <w:r>
        <w:t xml:space="preserve"> </w:t>
      </w:r>
      <w:r>
        <w:t xml:space="preserve">in the</w:t>
      </w:r>
      <w:r>
        <w:t xml:space="preserve"> </w:t>
      </w:r>
      <w:r>
        <w:rPr>
          <w:rStyle w:val="VerbatimChar"/>
        </w:rPr>
        <w:t xml:space="preserve">hmetad</w:t>
      </w:r>
      <w:r>
        <w:t xml:space="preserve"> </w:t>
      </w:r>
      <w:r>
        <w:t xml:space="preserve">package:</w:t>
      </w:r>
    </w:p>
    <w:p>
      <w:pPr>
        <w:pStyle w:val="BodyText"/>
      </w:pPr>
      <m:oMathPara>
        <m:oMathParaPr>
          <m:jc m:val="center"/>
        </m:oMathParaPr>
        <m:oMath>
          <m:eqArr>
            <m:e>
              <m:r>
                <m:t>R</m:t>
              </m:r>
              <m:r>
                <m:rPr>
                  <m:sty m:val="p"/>
                </m:rPr>
                <m:t>=</m:t>
              </m:r>
              <m:r>
                <m:rPr>
                  <m:nor/>
                  <m:scr m:val="monospace"/>
                  <m:sty m:val="p"/>
                </m:rPr>
                <m:t>type1_response</m:t>
              </m:r>
              <m:r>
                <m:rPr>
                  <m:sty m:val="p"/>
                </m:rPr>
                <m:t>(</m:t>
              </m:r>
              <m:r>
                <m:t>J</m:t>
              </m:r>
              <m:r>
                <m:rPr>
                  <m:sty m:val="p"/>
                </m:rPr>
                <m:t>,</m:t>
              </m:r>
              <m:r>
                <m:t>K</m:t>
              </m:r>
              <m:r>
                <m:rPr>
                  <m:sty m:val="p"/>
                </m:rPr>
                <m:t>)</m:t>
              </m:r>
              <m:r>
                <m:t>&amp;</m:t>
              </m:r>
              <m:r>
                <m:rPr>
                  <m:sty m:val="p"/>
                </m:rPr>
                <m:t>=</m:t>
              </m:r>
              <m:r>
                <m:rPr>
                  <m:sty m:val="p"/>
                </m:rPr>
                <m:t>⟦</m:t>
              </m:r>
              <m:r>
                <m:t>J</m:t>
              </m:r>
              <m:r>
                <m:rPr>
                  <m:sty m:val="p"/>
                </m:rPr>
                <m:t>&gt;</m:t>
              </m:r>
              <m:r>
                <m:t>K</m:t>
              </m:r>
              <m:r>
                <m:rPr>
                  <m:sty m:val="p"/>
                </m:rPr>
                <m:t>⟧</m:t>
              </m:r>
            </m:e>
            <m:e>
              <m:r>
                <m:t>C</m:t>
              </m:r>
              <m:r>
                <m:rPr>
                  <m:sty m:val="p"/>
                </m:rPr>
                <m:t>=</m:t>
              </m:r>
              <m:r>
                <m:rPr>
                  <m:nor/>
                  <m:scr m:val="monospace"/>
                  <m:sty m:val="p"/>
                </m:rPr>
                <m:t>type2_response</m:t>
              </m:r>
              <m:r>
                <m:rPr>
                  <m:sty m:val="p"/>
                </m:rPr>
                <m:t>(</m:t>
              </m:r>
              <m:r>
                <m:t>J</m:t>
              </m:r>
              <m:r>
                <m:rPr>
                  <m:sty m:val="p"/>
                </m:rPr>
                <m:t>,</m:t>
              </m:r>
              <m:r>
                <m:t>K</m:t>
              </m:r>
              <m:r>
                <m:rPr>
                  <m:sty m:val="p"/>
                </m:rPr>
                <m:t>)</m:t>
              </m:r>
              <m:r>
                <m:t>&amp;</m:t>
              </m:r>
              <m:r>
                <m:rPr>
                  <m:sty m:val="p"/>
                </m:rPr>
                <m:t>=</m:t>
              </m:r>
              <m:d>
                <m:dPr>
                  <m:begChr m:val="{"/>
                  <m:sepChr m:val=""/>
                  <m:endChr m:val=""/>
                  <m:grow/>
                </m:dPr>
                <m:e>
                  <m:m>
                    <m:mPr>
                      <m:baseJc m:val="center"/>
                      <m:plcHide m:val="on"/>
                      <m:mcs>
                        <m:mc>
                          <m:mcPr>
                            <m:mcJc m:val="left"/>
                            <m:count m:val="1"/>
                          </m:mcPr>
                        </m:mc>
                        <m:mc>
                          <m:mcPr>
                            <m:mcJc m:val="left"/>
                            <m:count m:val="1"/>
                          </m:mcPr>
                        </m:mc>
                      </m:mcs>
                    </m:mPr>
                    <m:mr>
                      <m:e>
                        <m:r>
                          <m:t>J</m:t>
                        </m:r>
                        <m:r>
                          <m:rPr>
                            <m:sty m:val="p"/>
                          </m:rPr>
                          <m:t>−</m:t>
                        </m:r>
                        <m:r>
                          <m:t>K</m:t>
                        </m:r>
                      </m:e>
                      <m:e>
                        <m:r>
                          <m:rPr>
                            <m:nor/>
                            <m:sty m:val="p"/>
                          </m:rPr>
                          <m:t>if </m:t>
                        </m:r>
                        <m:r>
                          <m:t>R</m:t>
                        </m:r>
                        <m:r>
                          <m:rPr>
                            <m:sty m:val="p"/>
                          </m:rPr>
                          <m:t>=</m:t>
                        </m:r>
                        <m:r>
                          <m:t>1</m:t>
                        </m:r>
                      </m:e>
                    </m:mr>
                    <m:mr>
                      <m:e>
                        <m:r>
                          <m:t>K</m:t>
                        </m:r>
                        <m:r>
                          <m:rPr>
                            <m:sty m:val="p"/>
                          </m:rPr>
                          <m:t>+</m:t>
                        </m:r>
                        <m:r>
                          <m:t>1</m:t>
                        </m:r>
                        <m:r>
                          <m:rPr>
                            <m:sty m:val="p"/>
                          </m:rPr>
                          <m:t>−</m:t>
                        </m:r>
                        <m:r>
                          <m:t>J</m:t>
                        </m:r>
                      </m:e>
                      <m:e>
                        <m:r>
                          <m:rPr>
                            <m:nor/>
                            <m:sty m:val="p"/>
                          </m:rPr>
                          <m:t>if </m:t>
                        </m:r>
                        <m:r>
                          <m:t>R</m:t>
                        </m:r>
                        <m:r>
                          <m:rPr>
                            <m:sty m:val="p"/>
                          </m:rPr>
                          <m:t>=</m:t>
                        </m:r>
                        <m:r>
                          <m:t>0</m:t>
                        </m:r>
                      </m:e>
                    </m:mr>
                    <m:mr>
                      <m:e/>
                    </m:mr>
                  </m:m>
                </m:e>
              </m:d>
            </m:e>
            <m:e>
              <m:r>
                <m:t>J</m:t>
              </m:r>
              <m:r>
                <m:rPr>
                  <m:sty m:val="p"/>
                </m:rPr>
                <m:t>=</m:t>
              </m:r>
              <m:r>
                <m:rPr>
                  <m:nor/>
                  <m:scr m:val="monospace"/>
                  <m:sty m:val="p"/>
                </m:rPr>
                <m:t>joint_response</m:t>
              </m:r>
              <m:r>
                <m:rPr>
                  <m:sty m:val="p"/>
                </m:rPr>
                <m:t>(</m:t>
              </m:r>
              <m:r>
                <m:t>R</m:t>
              </m:r>
              <m:r>
                <m:rPr>
                  <m:sty m:val="p"/>
                </m:rPr>
                <m:t>,</m:t>
              </m:r>
              <m:r>
                <m:t>C</m:t>
              </m:r>
              <m:r>
                <m:rPr>
                  <m:sty m:val="p"/>
                </m:rPr>
                <m:t>,</m:t>
              </m:r>
              <m:r>
                <m:t>K</m:t>
              </m:r>
              <m:r>
                <m:rPr>
                  <m:sty m:val="p"/>
                </m:rPr>
                <m:t>)</m:t>
              </m:r>
              <m:r>
                <m:t>&amp;</m:t>
              </m:r>
              <m:r>
                <m:rPr>
                  <m:sty m:val="p"/>
                </m:rPr>
                <m:t>=</m:t>
              </m:r>
              <m:d>
                <m:dPr>
                  <m:begChr m:val="{"/>
                  <m:sepChr m:val=""/>
                  <m:endChr m:val=""/>
                  <m:grow/>
                </m:dPr>
                <m:e>
                  <m:m>
                    <m:mPr>
                      <m:baseJc m:val="center"/>
                      <m:plcHide m:val="on"/>
                      <m:mcs>
                        <m:mc>
                          <m:mcPr>
                            <m:mcJc m:val="left"/>
                            <m:count m:val="1"/>
                          </m:mcPr>
                        </m:mc>
                        <m:mc>
                          <m:mcPr>
                            <m:mcJc m:val="left"/>
                            <m:count m:val="1"/>
                          </m:mcPr>
                        </m:mc>
                      </m:mcs>
                    </m:mPr>
                    <m:mr>
                      <m:e>
                        <m:r>
                          <m:t>K</m:t>
                        </m:r>
                        <m:r>
                          <m:rPr>
                            <m:sty m:val="p"/>
                          </m:rPr>
                          <m:t>+</m:t>
                        </m:r>
                        <m:r>
                          <m:t>C</m:t>
                        </m:r>
                      </m:e>
                      <m:e>
                        <m:r>
                          <m:rPr>
                            <m:nor/>
                            <m:sty m:val="p"/>
                          </m:rPr>
                          <m:t>if </m:t>
                        </m:r>
                        <m:r>
                          <m:t>R</m:t>
                        </m:r>
                        <m:r>
                          <m:rPr>
                            <m:sty m:val="p"/>
                          </m:rPr>
                          <m:t>=</m:t>
                        </m:r>
                        <m:r>
                          <m:t>1</m:t>
                        </m:r>
                      </m:e>
                    </m:mr>
                    <m:mr>
                      <m:e>
                        <m:r>
                          <m:t>K</m:t>
                        </m:r>
                        <m:r>
                          <m:rPr>
                            <m:sty m:val="p"/>
                          </m:rPr>
                          <m:t>+</m:t>
                        </m:r>
                        <m:r>
                          <m:t>1</m:t>
                        </m:r>
                        <m:r>
                          <m:rPr>
                            <m:sty m:val="p"/>
                          </m:rPr>
                          <m:t>−</m:t>
                        </m:r>
                        <m:r>
                          <m:t>C</m:t>
                        </m:r>
                      </m:e>
                      <m:e>
                        <m:r>
                          <m:rPr>
                            <m:nor/>
                            <m:sty m:val="p"/>
                          </m:rPr>
                          <m:t>if </m:t>
                        </m:r>
                        <m:r>
                          <m:t>R</m:t>
                        </m:r>
                        <m:r>
                          <m:rPr>
                            <m:sty m:val="p"/>
                          </m:rPr>
                          <m:t>=</m:t>
                        </m:r>
                        <m:r>
                          <m:t>0</m:t>
                        </m:r>
                      </m:e>
                    </m:mr>
                    <m:mr>
                      <m:e/>
                    </m:mr>
                  </m:m>
                </m:e>
              </m:d>
            </m:e>
          </m:eqArr>
        </m:oMath>
      </m:oMathPara>
    </w:p>
    <w:bookmarkStart w:id="46" w:name="fig-paradigm"/>
    <w:p>
      <w:pPr>
        <w:pStyle w:val="FigureTitle"/>
      </w:pPr>
      <w:r>
        <w:t xml:space="preserve">Figure 1</w:t>
      </w:r>
    </w:p>
    <w:p>
      <w:pPr>
        <w:pStyle w:val="Caption"/>
      </w:pPr>
      <w:r>
        <w:t xml:space="preserve">Two example tasks amenable to analysis with the</w:t>
      </w:r>
      <w:r>
        <w:t xml:space="preserve"> </w:t>
      </w:r>
      <m:oMath>
        <m:r>
          <m:rPr>
            <m:nor/>
            <m:sty m:val="p"/>
          </m:rPr>
          <m:t>meta-</m:t>
        </m:r>
        <m:sSup>
          <m:e>
            <m:r>
              <m:t>d</m:t>
            </m:r>
          </m:e>
          <m:sup>
            <m:r>
              <m:rPr>
                <m:sty m:val="p"/>
              </m:rPr>
              <m:t>′</m:t>
            </m:r>
          </m:sup>
        </m:sSup>
      </m:oMath>
      <w:r>
        <w:t xml:space="preserve"> </w:t>
      </w:r>
      <w:r>
        <w:t xml:space="preserve">model.</w:t>
      </w:r>
      <w:r>
        <w:t xml:space="preserve"> </w:t>
      </w:r>
      <w:r>
        <w:rPr>
          <w:i/>
          <w:iCs/>
        </w:rPr>
        <w:t xml:space="preserve">(A)</w:t>
      </w:r>
      <w:r>
        <w:t xml:space="preserve"> </w:t>
      </w:r>
      <w:r>
        <w:t xml:space="preserve">A signal detection task with a separate Type I and Type II response.</w:t>
      </w:r>
      <w:r>
        <w:t xml:space="preserve"> </w:t>
      </w:r>
      <w:r>
        <w:rPr>
          <w:i/>
          <w:iCs/>
        </w:rPr>
        <w:t xml:space="preserve">(B)</w:t>
      </w:r>
      <w:r>
        <w:t xml:space="preserve"> </w:t>
      </w:r>
      <w:r>
        <w:t xml:space="preserve">A two-alternative forced-choice (2AFC) task with a combined Type I/Type II response. In both tasks, the set of responses made on the trial can be decomposed into a binary Type I response and an ordinal Type II response.</w:t>
      </w:r>
    </w:p>
    <w:p>
      <w:pPr>
        <w:pStyle w:val="FigureWithoutNote"/>
      </w:pPr>
      <w:r>
        <w:drawing>
          <wp:inline>
            <wp:extent cx="5943600" cy="1379609"/>
            <wp:effectExtent b="0" l="0" r="0" t="0"/>
            <wp:docPr descr="" title="" id="43" name="Picture"/>
            <a:graphic>
              <a:graphicData uri="http://schemas.openxmlformats.org/drawingml/2006/picture">
                <pic:pic>
                  <pic:nvPicPr>
                    <pic:cNvPr descr="tikz.95dcc288.svg" id="44" name="Picture"/>
                    <pic:cNvPicPr>
                      <a:picLocks noChangeArrowheads="1" noChangeAspect="1"/>
                    </pic:cNvPicPr>
                  </pic:nvPicPr>
                  <pic:blipFill>
                    <a:blip r:embed="rId45">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bwMode="auto">
                    <a:xfrm>
                      <a:off x="0" y="0"/>
                      <a:ext cx="5943600" cy="1379609"/>
                    </a:xfrm>
                    <a:prstGeom prst="rect">
                      <a:avLst/>
                    </a:prstGeom>
                    <a:noFill/>
                    <a:ln w="9525">
                      <a:noFill/>
                      <a:headEnd/>
                      <a:tailEnd/>
                    </a:ln>
                  </pic:spPr>
                </pic:pic>
              </a:graphicData>
            </a:graphic>
          </wp:inline>
        </w:drawing>
      </w:r>
    </w:p>
    <w:bookmarkEnd w:id="46"/>
    <w:bookmarkEnd w:id="47"/>
    <w:bookmarkStart w:id="55" w:name="generative-model"/>
    <w:p>
      <w:pPr>
        <w:pStyle w:val="Heading2"/>
      </w:pPr>
      <w:r>
        <w:t xml:space="preserve">Generative model</w:t>
      </w:r>
    </w:p>
    <w:p>
      <w:pPr>
        <w:pStyle w:val="FirstParagraph"/>
      </w:pPr>
      <w:r>
        <w:t xml:space="preserve">Given the design above, the</w:t>
      </w:r>
      <w:r>
        <w:t xml:space="preserve"> </w:t>
      </w:r>
      <m:oMath>
        <m:r>
          <m:rPr>
            <m:nor/>
            <m:sty m:val="p"/>
          </m:rPr>
          <m:t>meta-</m:t>
        </m:r>
        <m:sSup>
          <m:e>
            <m:r>
              <m:t>d</m:t>
            </m:r>
          </m:e>
          <m:sup>
            <m:r>
              <m:rPr>
                <m:sty m:val="p"/>
              </m:rPr>
              <m:t>′</m:t>
            </m:r>
          </m:sup>
        </m:sSup>
      </m:oMath>
      <w:r>
        <w:t xml:space="preserve"> </w:t>
      </w:r>
      <w:r>
        <w:t xml:space="preserve">model aims to explain the distribution of Type I and Type II responses. Early descriptions of the model stressed that it was not intended to be a generative model; initially, it was simply meant to describe (a) the relation between Type I responses and the stimulus, and (b) the relation between Type II responses and the accuracy of the Type I responses. However, over time this characterization has shifted to an understanding that the</w:t>
      </w:r>
      <w:r>
        <w:t xml:space="preserve"> </w:t>
      </w:r>
      <m:oMath>
        <m:r>
          <m:rPr>
            <m:nor/>
            <m:sty m:val="p"/>
          </m:rPr>
          <m:t>meta-</m:t>
        </m:r>
        <m:sSup>
          <m:e>
            <m:r>
              <m:t>d</m:t>
            </m:r>
          </m:e>
          <m:sup>
            <m:r>
              <m:rPr>
                <m:sty m:val="p"/>
              </m:rPr>
              <m:t>′</m:t>
            </m:r>
          </m:sup>
        </m:sSup>
      </m:oMath>
      <w:r>
        <w:t xml:space="preserve"> </w:t>
      </w:r>
      <w:r>
        <w:t xml:space="preserve">model is sensitive to a number of generative assumptions, indicating that it is not in fact a theory-free model</w:t>
      </w:r>
      <w:r>
        <w:t xml:space="preserve"> </w:t>
      </w:r>
      <w:r>
        <w:t xml:space="preserve">(</w:t>
      </w:r>
      <w:hyperlink w:anchor="ref-guggenmos2021">
        <w:r>
          <w:rPr>
            <w:rStyle w:val="Hyperlink"/>
          </w:rPr>
          <w:t xml:space="preserve">Guggenmos, 2021</w:t>
        </w:r>
      </w:hyperlink>
      <w:r>
        <w:t xml:space="preserve">;</w:t>
      </w:r>
      <w:r>
        <w:t xml:space="preserve"> </w:t>
      </w:r>
      <w:hyperlink w:anchor="ref-rausch2023">
        <w:r>
          <w:rPr>
            <w:rStyle w:val="Hyperlink"/>
          </w:rPr>
          <w:t xml:space="preserve">Rausch et al., 2026</w:t>
        </w:r>
      </w:hyperlink>
      <w:r>
        <w:t xml:space="preserve">)</w:t>
      </w:r>
      <w:r>
        <w:t xml:space="preserve">. Keeping this in mind, we next overview the statistical process underlying the</w:t>
      </w:r>
      <w:r>
        <w:t xml:space="preserve"> </w:t>
      </w:r>
      <m:oMath>
        <m:r>
          <m:rPr>
            <m:nor/>
            <m:sty m:val="p"/>
          </m:rPr>
          <m:t>meta-</m:t>
        </m:r>
        <m:sSup>
          <m:e>
            <m:r>
              <m:t>d</m:t>
            </m:r>
          </m:e>
          <m:sup>
            <m:r>
              <m:rPr>
                <m:sty m:val="p"/>
              </m:rPr>
              <m:t>′</m:t>
            </m:r>
          </m:sup>
        </m:sSup>
      </m:oMath>
      <w:r>
        <w:t xml:space="preserve"> </w:t>
      </w:r>
      <w:r>
        <w:t xml:space="preserve">model</w:t>
      </w:r>
      <w:r>
        <w:t xml:space="preserve"> </w:t>
      </w:r>
      <w:hyperlink w:anchor="fig-metad-model">
        <w:r>
          <w:rPr>
            <w:rStyle w:val="Hyperlink"/>
          </w:rPr>
          <w:t xml:space="preserve">Figure 2</w:t>
        </w:r>
      </w:hyperlink>
      <w:r>
        <w:t xml:space="preserve">, identifying relevant assumptions along the way.</w:t>
      </w:r>
    </w:p>
    <w:bookmarkStart w:id="51" w:name="fig-metad-model"/>
    <w:p>
      <w:pPr>
        <w:pStyle w:val="FigureTitle"/>
      </w:pPr>
      <w:r>
        <w:t xml:space="preserve">Figure 2</w:t>
      </w:r>
    </w:p>
    <w:p>
      <w:pPr>
        <w:pStyle w:val="Caption"/>
      </w:pPr>
      <w:r>
        <w:t xml:space="preserve">Generative process underlying the</w:t>
      </w:r>
      <w:r>
        <w:t xml:space="preserve"> </w:t>
      </w:r>
      <m:oMath>
        <m:r>
          <m:rPr>
            <m:nor/>
            <m:sty m:val="p"/>
          </m:rPr>
          <m:t>meta-</m:t>
        </m:r>
        <m:sSup>
          <m:e>
            <m:r>
              <m:t>d</m:t>
            </m:r>
          </m:e>
          <m:sup>
            <m:r>
              <m:rPr>
                <m:sty m:val="p"/>
              </m:rPr>
              <m:t>′</m:t>
            </m:r>
          </m:sup>
        </m:sSup>
      </m:oMath>
      <w:r>
        <w:t xml:space="preserve"> </w:t>
      </w:r>
      <w:r>
        <w:t xml:space="preserve">model.</w:t>
      </w:r>
      <w:r>
        <w:t xml:space="preserve"> </w:t>
      </w:r>
      <w:r>
        <w:rPr>
          <w:i/>
          <w:iCs/>
        </w:rPr>
        <w:t xml:space="preserve">(A)</w:t>
      </w:r>
      <w:r>
        <w:t xml:space="preserve"> </w:t>
      </w:r>
      <w:r>
        <w:t xml:space="preserve">The observer receives an evidence signal which noisily encodes the stimulus with sensitivity</w:t>
      </w:r>
      <w:r>
        <w:t xml:space="preserve"> </w:t>
      </w:r>
      <m:oMath>
        <m:sSup>
          <m:e>
            <m:r>
              <m:t>d</m:t>
            </m:r>
          </m:e>
          <m:sup>
            <m:r>
              <m:rPr>
                <m:sty m:val="p"/>
              </m:rPr>
              <m:t>′</m:t>
            </m:r>
          </m:sup>
        </m:sSup>
      </m:oMath>
      <w:r>
        <w:t xml:space="preserve">.</w:t>
      </w:r>
      <w:r>
        <w:t xml:space="preserve"> </w:t>
      </w:r>
      <w:r>
        <w:t xml:space="preserve">They make a Type I response by comparing the evidence to a response criterion</w:t>
      </w:r>
      <w:r>
        <w:t xml:space="preserve"> </w:t>
      </w:r>
      <m:oMath>
        <m:r>
          <m:t>c</m:t>
        </m:r>
      </m:oMath>
      <w:r>
        <w:t xml:space="preserve">.</w:t>
      </w:r>
      <w:r>
        <w:t xml:space="preserve"> </w:t>
      </w:r>
      <w:r>
        <w:rPr>
          <w:i/>
          <w:iCs/>
        </w:rPr>
        <w:t xml:space="preserve">(B)</w:t>
      </w:r>
      <w:r>
        <w:t xml:space="preserve"> </w:t>
      </w:r>
      <w:r>
        <w:t xml:space="preserve">Depending on the Type I response, the observer receives a second piece of evidence about the stimulus,</w:t>
      </w:r>
      <w:r>
        <w:t xml:space="preserve"> </w:t>
      </w:r>
      <w:r>
        <w:t xml:space="preserve">now with sensitivity</w:t>
      </w:r>
      <w:r>
        <w:t xml:space="preserve"> </w:t>
      </w:r>
      <m:oMath>
        <m:r>
          <m:rPr>
            <m:nor/>
            <m:sty m:val="p"/>
          </m:rPr>
          <m:t>meta-</m:t>
        </m:r>
        <m:sSup>
          <m:e>
            <m:r>
              <m:t>d</m:t>
            </m:r>
          </m:e>
          <m:sup>
            <m:r>
              <m:rPr>
                <m:sty m:val="p"/>
              </m:rPr>
              <m:t>′</m:t>
            </m:r>
          </m:sup>
        </m:sSup>
      </m:oMath>
      <w:r>
        <w:t xml:space="preserve">. They make a confidence rating by comparing the evidence to a set</w:t>
      </w:r>
      <w:r>
        <w:t xml:space="preserve"> </w:t>
      </w:r>
      <w:r>
        <w:t xml:space="preserve">of ordered confidence criteria,</w:t>
      </w:r>
      <w:r>
        <w:t xml:space="preserve"> </w:t>
      </w:r>
      <m:oMath>
        <m:r>
          <m:rPr>
            <m:nor/>
            <m:sty m:val="b"/>
          </m:rPr>
          <m:t>meta-</m:t>
        </m:r>
        <m:sSubSup>
          <m:e>
            <m:r>
              <m:rPr>
                <m:sty m:val="bi"/>
              </m:rPr>
              <m:t>c</m:t>
            </m:r>
          </m:e>
          <m:sub>
            <m:r>
              <m:rPr>
                <m:sty m:val="b"/>
              </m:rPr>
              <m:t>2</m:t>
            </m:r>
          </m:sub>
          <m:sup>
            <m:r>
              <m:rPr>
                <m:sty m:val="bi"/>
              </m:rPr>
              <m:t>R</m:t>
            </m:r>
          </m:sup>
        </m:sSubSup>
      </m:oMath>
      <w:r>
        <w:t xml:space="preserve">.</w:t>
      </w:r>
      <w:r>
        <w:t xml:space="preserve"> </w:t>
      </w:r>
      <w:r>
        <w:rPr>
          <w:i/>
          <w:iCs/>
        </w:rPr>
        <w:t xml:space="preserve">(C)</w:t>
      </w:r>
      <w:r>
        <w:t xml:space="preserve"> </w:t>
      </w:r>
      <w:r>
        <w:t xml:space="preserve">Trials are categorized depending on the stimulus and joint Type I/Type II response, where the</w:t>
      </w:r>
      <w:r>
        <w:t xml:space="preserve"> </w:t>
      </w:r>
      <w:r>
        <w:t xml:space="preserve">probability of each trial type is determined by the product of area under the Type I and</w:t>
      </w:r>
      <w:r>
        <w:t xml:space="preserve"> </w:t>
      </w:r>
      <w:r>
        <w:t xml:space="preserve">Type II evidence distribution curves.</w:t>
      </w:r>
    </w:p>
    <w:p>
      <w:pPr>
        <w:pStyle w:val="FigureWithoutNote"/>
      </w:pPr>
      <w:r>
        <w:drawing>
          <wp:inline>
            <wp:extent cx="5943600" cy="5943600"/>
            <wp:effectExtent b="0" l="0" r="0" t="0"/>
            <wp:docPr descr="" title="" id="49" name="Picture"/>
            <a:graphic>
              <a:graphicData uri="http://schemas.openxmlformats.org/drawingml/2006/picture">
                <pic:pic>
                  <pic:nvPicPr>
                    <pic:cNvPr descr="index_files/figure-docx/fig-metad-model-1.png" id="50" name="Picture"/>
                    <pic:cNvPicPr>
                      <a:picLocks noChangeArrowheads="1" noChangeAspect="1"/>
                    </pic:cNvPicPr>
                  </pic:nvPicPr>
                  <pic:blipFill>
                    <a:blip r:embed="rId48"/>
                    <a:stretch>
                      <a:fillRect/>
                    </a:stretch>
                  </pic:blipFill>
                  <pic:spPr bwMode="auto">
                    <a:xfrm>
                      <a:off x="0" y="0"/>
                      <a:ext cx="5943600" cy="5943600"/>
                    </a:xfrm>
                    <a:prstGeom prst="rect">
                      <a:avLst/>
                    </a:prstGeom>
                    <a:noFill/>
                    <a:ln w="9525">
                      <a:noFill/>
                      <a:headEnd/>
                      <a:tailEnd/>
                    </a:ln>
                  </pic:spPr>
                </pic:pic>
              </a:graphicData>
            </a:graphic>
          </wp:inline>
        </w:drawing>
      </w:r>
    </w:p>
    <w:bookmarkEnd w:id="51"/>
    <w:bookmarkStart w:id="52" w:name="type-i-responses"/>
    <w:p>
      <w:pPr>
        <w:pStyle w:val="Heading3"/>
      </w:pPr>
      <w:r>
        <w:t xml:space="preserve">Type I responses</w:t>
      </w:r>
    </w:p>
    <w:p>
      <w:pPr>
        <w:pStyle w:val="FirstParagraph"/>
      </w:pPr>
      <w:r>
        <w:t xml:space="preserve">As the</w:t>
      </w:r>
      <w:r>
        <w:t xml:space="preserve"> </w:t>
      </w:r>
      <m:oMath>
        <m:r>
          <m:rPr>
            <m:nor/>
            <m:sty m:val="p"/>
          </m:rPr>
          <m:t>meta-</m:t>
        </m:r>
        <m:sSup>
          <m:e>
            <m:r>
              <m:t>d</m:t>
            </m:r>
          </m:e>
          <m:sup>
            <m:r>
              <m:rPr>
                <m:sty m:val="p"/>
              </m:rPr>
              <m:t>′</m:t>
            </m:r>
          </m:sup>
        </m:sSup>
      </m:oMath>
      <w:r>
        <w:t xml:space="preserve"> </w:t>
      </w:r>
      <w:r>
        <w:t xml:space="preserve">model is an extension of Signal Detection Theory (SDT), its model for Type I responses is simply the equal variance signal detection model</w:t>
      </w:r>
      <w:r>
        <w:t xml:space="preserve"> </w:t>
      </w:r>
      <w:r>
        <w:t xml:space="preserve">(</w:t>
      </w:r>
      <w:hyperlink w:anchor="ref-clarke1959">
        <w:r>
          <w:rPr>
            <w:rStyle w:val="Hyperlink"/>
          </w:rPr>
          <w:t xml:space="preserve">Clarke et al., 1959</w:t>
        </w:r>
      </w:hyperlink>
      <w:r>
        <w:t xml:space="preserve">;</w:t>
      </w:r>
      <w:r>
        <w:t xml:space="preserve"> </w:t>
      </w:r>
      <w:hyperlink w:anchor="ref-green1966">
        <w:r>
          <w:rPr>
            <w:rStyle w:val="Hyperlink"/>
          </w:rPr>
          <w:t xml:space="preserve">Green &amp; Swets, 1966</w:t>
        </w:r>
      </w:hyperlink>
      <w:r>
        <w:t xml:space="preserve">)</w:t>
      </w:r>
      <w:r>
        <w:t xml:space="preserve">. Given the stimulus</w:t>
      </w:r>
      <w:r>
        <w:t xml:space="preserve"> </w:t>
      </w:r>
      <m:oMath>
        <m:r>
          <m:t>S</m:t>
        </m:r>
      </m:oMath>
      <w:r>
        <w:t xml:space="preserve">, equal variance SDT assumes that the observer is presented with a noisy signal</w:t>
      </w:r>
      <w:r>
        <w:t xml:space="preserve"> </w:t>
      </w:r>
      <m:oMath>
        <m:sSub>
          <m:e>
            <m:r>
              <m:t>x</m:t>
            </m:r>
          </m:e>
          <m:sub>
            <m:r>
              <m:t>1</m:t>
            </m:r>
          </m:sub>
        </m:sSub>
        <m:r>
          <m:rPr>
            <m:sty m:val="p"/>
          </m:rPr>
          <m:t>∼</m:t>
        </m:r>
        <m:sSub>
          <m:e>
            <m:r>
              <m:rPr>
                <m:scr m:val="script"/>
                <m:sty m:val="p"/>
              </m:rPr>
              <m:t>D</m:t>
            </m:r>
          </m:e>
          <m:sub>
            <m:r>
              <m:t>S</m:t>
            </m:r>
          </m:sub>
        </m:sSub>
        <m:r>
          <m:rPr>
            <m:sty m:val="p"/>
          </m:rPr>
          <m:t>(</m:t>
        </m:r>
        <m:sSup>
          <m:e>
            <m:r>
              <m:t>d</m:t>
            </m:r>
          </m:e>
          <m:sup>
            <m:r>
              <m:rPr>
                <m:sty m:val="p"/>
              </m:rPr>
              <m:t>′</m:t>
            </m:r>
          </m:sup>
        </m:sSup>
        <m:r>
          <m:rPr>
            <m:sty m:val="p"/>
          </m:rPr>
          <m:t>)</m:t>
        </m:r>
      </m:oMath>
      <w:r>
        <w:t xml:space="preserve"> </w:t>
      </w:r>
      <w:r>
        <w:t xml:space="preserve">following a distribution</w:t>
      </w:r>
      <w:r>
        <w:t xml:space="preserve"> </w:t>
      </w:r>
      <m:oMath>
        <m:r>
          <m:rPr>
            <m:scr m:val="script"/>
            <m:sty m:val="p"/>
          </m:rPr>
          <m:t>D</m:t>
        </m:r>
      </m:oMath>
      <w:r>
        <w:t xml:space="preserve"> </w:t>
      </w:r>
      <w:r>
        <w:t xml:space="preserve">parameterized by the observer’s sensitivity to the stimulus</w:t>
      </w:r>
      <w:r>
        <w:t xml:space="preserve"> </w:t>
      </w:r>
      <m:oMath>
        <m:sSup>
          <m:e>
            <m:r>
              <m:t>d</m:t>
            </m:r>
          </m:e>
          <m:sup>
            <m:r>
              <m:rPr>
                <m:sty m:val="p"/>
              </m:rPr>
              <m:t>′</m:t>
            </m:r>
          </m:sup>
        </m:sSup>
      </m:oMath>
      <w:r>
        <w:t xml:space="preserve"> </w:t>
      </w:r>
      <w:hyperlink w:anchor="fig-metad-model">
        <w:r>
          <w:rPr>
            <w:rStyle w:val="Hyperlink"/>
          </w:rPr>
          <w:t xml:space="preserve">Figure 2</w:t>
        </w:r>
      </w:hyperlink>
      <w:r>
        <w:t xml:space="preserve">A. Although other options are available, it is common to assume that</w:t>
      </w:r>
      <w:r>
        <w:t xml:space="preserve"> </w:t>
      </w:r>
      <m:oMath>
        <m:r>
          <m:rPr>
            <m:scr m:val="script"/>
            <m:sty m:val="p"/>
          </m:rPr>
          <m:t>D</m:t>
        </m:r>
      </m:oMath>
      <w:r>
        <w:t xml:space="preserve"> </w:t>
      </w:r>
      <w:r>
        <w:t xml:space="preserve">is a normal distribution with unit variance, such that:</w:t>
      </w:r>
    </w:p>
    <w:p>
      <w:pPr>
        <w:pStyle w:val="BodyText"/>
      </w:pPr>
      <m:oMathPara>
        <m:oMathParaPr>
          <m:jc m:val="center"/>
        </m:oMathParaPr>
        <m:oMath>
          <m:eqArr>
            <m:e>
              <m:sSub>
                <m:e>
                  <m:r>
                    <m:rPr>
                      <m:scr m:val="script"/>
                      <m:sty m:val="p"/>
                    </m:rPr>
                    <m:t>D</m:t>
                  </m:r>
                </m:e>
                <m:sub>
                  <m:r>
                    <m:t>0</m:t>
                  </m:r>
                </m:sub>
              </m:sSub>
              <m:r>
                <m:rPr>
                  <m:sty m:val="p"/>
                </m:rPr>
                <m:t>(</m:t>
              </m:r>
              <m:sSup>
                <m:e>
                  <m:r>
                    <m:t>d</m:t>
                  </m:r>
                </m:e>
                <m:sup>
                  <m:r>
                    <m:rPr>
                      <m:sty m:val="p"/>
                    </m:rPr>
                    <m:t>′</m:t>
                  </m:r>
                </m:sup>
              </m:sSup>
              <m:r>
                <m:rPr>
                  <m:sty m:val="p"/>
                </m:rPr>
                <m:t>)</m:t>
              </m:r>
              <m:r>
                <m:t>&amp;</m:t>
              </m:r>
              <m:r>
                <m:rPr>
                  <m:sty m:val="p"/>
                </m:rPr>
                <m:t>=</m:t>
              </m:r>
              <m:r>
                <m:rPr>
                  <m:scr m:val="script"/>
                  <m:sty m:val="p"/>
                </m:rPr>
                <m:t>N</m:t>
              </m:r>
              <m:d>
                <m:dPr>
                  <m:begChr m:val="("/>
                  <m:sepChr m:val=""/>
                  <m:endChr m:val=")"/>
                  <m:grow/>
                </m:dPr>
                <m:e>
                  <m:r>
                    <m:rPr>
                      <m:sty m:val="p"/>
                    </m:rPr>
                    <m:t>−</m:t>
                  </m:r>
                  <m:f>
                    <m:fPr>
                      <m:type m:val="bar"/>
                    </m:fPr>
                    <m:num>
                      <m:sSup>
                        <m:e>
                          <m:r>
                            <m:t>d</m:t>
                          </m:r>
                        </m:e>
                        <m:sup>
                          <m:r>
                            <m:rPr>
                              <m:sty m:val="p"/>
                            </m:rPr>
                            <m:t>′</m:t>
                          </m:r>
                        </m:sup>
                      </m:sSup>
                    </m:num>
                    <m:den>
                      <m:r>
                        <m:t>2</m:t>
                      </m:r>
                    </m:den>
                  </m:f>
                  <m:r>
                    <m:rPr>
                      <m:sty m:val="p"/>
                    </m:rPr>
                    <m:t>,</m:t>
                  </m:r>
                  <m:r>
                    <m:t>1</m:t>
                  </m:r>
                </m:e>
              </m:d>
            </m:e>
            <m:e>
              <m:sSub>
                <m:e>
                  <m:r>
                    <m:rPr>
                      <m:scr m:val="script"/>
                      <m:sty m:val="p"/>
                    </m:rPr>
                    <m:t>D</m:t>
                  </m:r>
                </m:e>
                <m:sub>
                  <m:r>
                    <m:t>1</m:t>
                  </m:r>
                </m:sub>
              </m:sSub>
              <m:r>
                <m:rPr>
                  <m:sty m:val="p"/>
                </m:rPr>
                <m:t>(</m:t>
              </m:r>
              <m:sSup>
                <m:e>
                  <m:r>
                    <m:t>d</m:t>
                  </m:r>
                </m:e>
                <m:sup>
                  <m:r>
                    <m:rPr>
                      <m:sty m:val="p"/>
                    </m:rPr>
                    <m:t>′</m:t>
                  </m:r>
                </m:sup>
              </m:sSup>
              <m:r>
                <m:rPr>
                  <m:sty m:val="p"/>
                </m:rPr>
                <m:t>)</m:t>
              </m:r>
              <m:r>
                <m:t>&amp;</m:t>
              </m:r>
              <m:r>
                <m:rPr>
                  <m:sty m:val="p"/>
                </m:rPr>
                <m:t>=</m:t>
              </m:r>
              <m:r>
                <m:rPr>
                  <m:scr m:val="script"/>
                  <m:sty m:val="p"/>
                </m:rPr>
                <m:t>N</m:t>
              </m:r>
              <m:d>
                <m:dPr>
                  <m:begChr m:val="("/>
                  <m:sepChr m:val=""/>
                  <m:endChr m:val=")"/>
                  <m:grow/>
                </m:dPr>
                <m:e>
                  <m:r>
                    <m:rPr>
                      <m:sty m:val="p"/>
                    </m:rPr>
                    <m:t>+</m:t>
                  </m:r>
                  <m:f>
                    <m:fPr>
                      <m:type m:val="bar"/>
                    </m:fPr>
                    <m:num>
                      <m:sSup>
                        <m:e>
                          <m:r>
                            <m:t>d</m:t>
                          </m:r>
                        </m:e>
                        <m:sup>
                          <m:r>
                            <m:rPr>
                              <m:sty m:val="p"/>
                            </m:rPr>
                            <m:t>′</m:t>
                          </m:r>
                        </m:sup>
                      </m:sSup>
                    </m:num>
                    <m:den>
                      <m:r>
                        <m:t>2</m:t>
                      </m:r>
                    </m:den>
                  </m:f>
                  <m:r>
                    <m:rPr>
                      <m:sty m:val="p"/>
                    </m:rPr>
                    <m:t>,</m:t>
                  </m:r>
                  <m:r>
                    <m:t>1</m:t>
                  </m:r>
                </m:e>
              </m:d>
            </m:e>
          </m:eqArr>
        </m:oMath>
      </m:oMathPara>
    </w:p>
    <w:p>
      <w:pPr>
        <w:pStyle w:val="FirstParagraph"/>
      </w:pPr>
      <w:r>
        <w:t xml:space="preserve">In the Type I task, the observer is meant to determine the underlying value of</w:t>
      </w:r>
      <w:r>
        <w:t xml:space="preserve"> </w:t>
      </w:r>
      <m:oMath>
        <m:r>
          <m:t>S</m:t>
        </m:r>
      </m:oMath>
      <w:r>
        <w:t xml:space="preserve"> </w:t>
      </w:r>
      <w:r>
        <w:t xml:space="preserve">on the basis of its noisy signal</w:t>
      </w:r>
      <w:r>
        <w:t xml:space="preserve"> </w:t>
      </w:r>
      <m:oMath>
        <m:sSub>
          <m:e>
            <m:r>
              <m:t>x</m:t>
            </m:r>
          </m:e>
          <m:sub>
            <m:r>
              <m:t>1</m:t>
            </m:r>
          </m:sub>
        </m:sSub>
      </m:oMath>
      <w:r>
        <w:t xml:space="preserve">. To make a response, then, it is assumed that the observer thresholds the signal</w:t>
      </w:r>
      <w:r>
        <w:t xml:space="preserve"> </w:t>
      </w:r>
      <m:oMath>
        <m:sSub>
          <m:e>
            <m:r>
              <m:t>x</m:t>
            </m:r>
          </m:e>
          <m:sub>
            <m:r>
              <m:t>1</m:t>
            </m:r>
          </m:sub>
        </m:sSub>
      </m:oMath>
      <w:r>
        <w:t xml:space="preserve"> </w:t>
      </w:r>
      <w:r>
        <w:t xml:space="preserve">by applying a criterion</w:t>
      </w:r>
      <w:r>
        <w:t xml:space="preserve"> </w:t>
      </w:r>
      <m:oMath>
        <m:r>
          <m:t>c</m:t>
        </m:r>
      </m:oMath>
      <w:r>
        <w:t xml:space="preserve">:</w:t>
      </w:r>
    </w:p>
    <w:p>
      <w:pPr>
        <w:pStyle w:val="BodyText"/>
      </w:pPr>
      <m:oMathPara>
        <m:oMathParaPr>
          <m:jc m:val="center"/>
        </m:oMathParaPr>
        <m:oMath>
          <m:m>
            <m:mPr>
              <m:baseJc m:val="center"/>
              <m:plcHide m:val="on"/>
              <m:mcs>
                <m:mc>
                  <m:mcPr>
                    <m:mcJc m:val="right"/>
                    <m:count m:val="1"/>
                  </m:mcPr>
                </m:mc>
              </m:mcs>
            </m:mPr>
            <m:mr>
              <m:e>
                <m:r>
                  <m:t>R</m:t>
                </m:r>
                <m:r>
                  <m:rPr>
                    <m:sty m:val="p"/>
                  </m:rPr>
                  <m:t>=</m:t>
                </m:r>
                <m:r>
                  <m:rPr>
                    <m:sty m:val="p"/>
                  </m:rPr>
                  <m:t>⟦</m:t>
                </m:r>
                <m:sSub>
                  <m:e>
                    <m:r>
                      <m:t>x</m:t>
                    </m:r>
                  </m:e>
                  <m:sub>
                    <m:r>
                      <m:t>1</m:t>
                    </m:r>
                  </m:sub>
                </m:sSub>
                <m:r>
                  <m:rPr>
                    <m:sty m:val="p"/>
                  </m:rPr>
                  <m:t>&gt;</m:t>
                </m:r>
                <m:r>
                  <m:t>c</m:t>
                </m:r>
                <m:r>
                  <m:rPr>
                    <m:sty m:val="p"/>
                  </m:rPr>
                  <m:t>⟧</m:t>
                </m:r>
              </m:e>
            </m:mr>
          </m:m>
        </m:oMath>
      </m:oMathPara>
    </w:p>
    <w:p>
      <w:pPr>
        <w:pStyle w:val="FirstParagraph"/>
      </w:pPr>
      <w:r>
        <w:t xml:space="preserve">Rather than modeling</w:t>
      </w:r>
      <w:r>
        <w:t xml:space="preserve"> </w:t>
      </w:r>
      <m:oMath>
        <m:sSub>
          <m:e>
            <m:r>
              <m:t>x</m:t>
            </m:r>
          </m:e>
          <m:sub>
            <m:r>
              <m:t>1</m:t>
            </m:r>
          </m:sub>
        </m:sSub>
      </m:oMath>
      <w:r>
        <w:t xml:space="preserve"> </w:t>
      </w:r>
      <w:r>
        <w:t xml:space="preserve">directly, it is more efficient to marginalize over it to compute the implied probability distribution over Type I responses. Where</w:t>
      </w:r>
      <w:r>
        <w:t xml:space="preserve"> </w:t>
      </w:r>
      <m:oMath>
        <m:sSub>
          <m:e>
            <m:r>
              <m:t>F</m:t>
            </m:r>
          </m:e>
          <m:sub>
            <m:r>
              <m:rPr>
                <m:scr m:val="script"/>
                <m:sty m:val="p"/>
              </m:rPr>
              <m:t>D</m:t>
            </m:r>
          </m:sub>
        </m:sSub>
      </m:oMath>
      <w:r>
        <w:t xml:space="preserve"> </w:t>
      </w:r>
      <w:r>
        <w:t xml:space="preserve">is the cumulative distribution function of</w:t>
      </w:r>
      <w:r>
        <w:t xml:space="preserve"> </w:t>
      </w:r>
      <m:oMath>
        <m:r>
          <m:rPr>
            <m:scr m:val="script"/>
            <m:sty m:val="p"/>
          </m:rPr>
          <m:t>D</m:t>
        </m:r>
      </m:oMath>
      <w:r>
        <w:t xml:space="preserve">, this process entails that the observer makes Type I responses with probability:</w:t>
      </w:r>
    </w:p>
    <w:p>
      <w:pPr>
        <w:pStyle w:val="BodyText"/>
      </w:pPr>
      <m:oMathPara>
        <m:oMathParaPr>
          <m:jc m:val="center"/>
        </m:oMathParaPr>
        <m:oMath>
          <m:m>
            <m:mPr>
              <m:baseJc m:val="center"/>
              <m:plcHide m:val="on"/>
              <m:mcs>
                <m:mc>
                  <m:mcPr>
                    <m:mcJc m:val="right"/>
                    <m:count m:val="1"/>
                  </m:mcPr>
                </m:mc>
              </m:mcs>
            </m:mPr>
            <m:mr>
              <m:e>
                <m:r>
                  <m:t>P</m:t>
                </m:r>
                <m:r>
                  <m:rPr>
                    <m:sty m:val="p"/>
                  </m:rPr>
                  <m:t>(</m:t>
                </m:r>
                <m:r>
                  <m:t>R</m:t>
                </m:r>
                <m:r>
                  <m:rPr>
                    <m:sty m:val="p"/>
                  </m:rPr>
                  <m:t>=</m:t>
                </m:r>
                <m:r>
                  <m:t>r</m:t>
                </m:r>
                <m:r>
                  <m:t> </m:t>
                </m:r>
                <m:r>
                  <m:rPr>
                    <m:sty m:val="p"/>
                  </m:rPr>
                  <m:t>|</m:t>
                </m:r>
                <m:r>
                  <m:t> </m:t>
                </m:r>
                <m:r>
                  <m:t>S</m:t>
                </m:r>
                <m:r>
                  <m:rPr>
                    <m:sty m:val="p"/>
                  </m:rPr>
                  <m:t>=</m:t>
                </m:r>
                <m:r>
                  <m:t>s</m:t>
                </m:r>
                <m:r>
                  <m:rPr>
                    <m:sty m:val="p"/>
                  </m:rPr>
                  <m:t>)</m:t>
                </m:r>
                <m:r>
                  <m:rPr>
                    <m:sty m:val="p"/>
                  </m:rPr>
                  <m:t>=</m:t>
                </m:r>
                <m:d>
                  <m:dPr>
                    <m:begChr m:val="{"/>
                    <m:sepChr m:val=""/>
                    <m:endChr m:val=""/>
                    <m:grow/>
                  </m:dPr>
                  <m:e>
                    <m:m>
                      <m:mPr>
                        <m:baseJc m:val="center"/>
                        <m:plcHide m:val="on"/>
                        <m:mcs>
                          <m:mc>
                            <m:mcPr>
                              <m:mcJc m:val="left"/>
                              <m:count m:val="1"/>
                            </m:mcPr>
                          </m:mc>
                          <m:mc>
                            <m:mcPr>
                              <m:mcJc m:val="left"/>
                              <m:count m:val="1"/>
                            </m:mcPr>
                          </m:mc>
                        </m:mcs>
                      </m:mPr>
                      <m:mr>
                        <m:e>
                          <m:r>
                            <m:t>1</m:t>
                          </m:r>
                          <m:r>
                            <m:rPr>
                              <m:sty m:val="p"/>
                            </m:rPr>
                            <m:t>−</m:t>
                          </m:r>
                          <m:sSub>
                            <m:e>
                              <m:r>
                                <m:t>F</m:t>
                              </m:r>
                            </m:e>
                            <m:sub>
                              <m:sSub>
                                <m:e>
                                  <m:r>
                                    <m:rPr>
                                      <m:scr m:val="script"/>
                                      <m:sty m:val="p"/>
                                    </m:rPr>
                                    <m:t>D</m:t>
                                  </m:r>
                                </m:e>
                                <m:sub>
                                  <m:r>
                                    <m:t>s</m:t>
                                  </m:r>
                                </m:sub>
                              </m:sSub>
                              <m:r>
                                <m:rPr>
                                  <m:sty m:val="p"/>
                                </m:rPr>
                                <m:t>(</m:t>
                              </m:r>
                              <m:sSup>
                                <m:e>
                                  <m:r>
                                    <m:t>d</m:t>
                                  </m:r>
                                </m:e>
                                <m:sup>
                                  <m:r>
                                    <m:rPr>
                                      <m:sty m:val="p"/>
                                    </m:rPr>
                                    <m:t>′</m:t>
                                  </m:r>
                                </m:sup>
                              </m:sSup>
                              <m:r>
                                <m:rPr>
                                  <m:sty m:val="p"/>
                                </m:rPr>
                                <m:t>)</m:t>
                              </m:r>
                            </m:sub>
                          </m:sSub>
                          <m:r>
                            <m:rPr>
                              <m:sty m:val="p"/>
                            </m:rPr>
                            <m:t>(</m:t>
                          </m:r>
                          <m:r>
                            <m:t>c</m:t>
                          </m:r>
                          <m:r>
                            <m:rPr>
                              <m:sty m:val="p"/>
                            </m:rPr>
                            <m:t>)</m:t>
                          </m:r>
                        </m:e>
                        <m:e>
                          <m:r>
                            <m:rPr>
                              <m:nor/>
                              <m:sty m:val="p"/>
                            </m:rPr>
                            <m:t>if </m:t>
                          </m:r>
                          <m:r>
                            <m:t>r</m:t>
                          </m:r>
                          <m:r>
                            <m:rPr>
                              <m:sty m:val="p"/>
                            </m:rPr>
                            <m:t>=</m:t>
                          </m:r>
                          <m:r>
                            <m:t>1</m:t>
                          </m:r>
                        </m:e>
                      </m:mr>
                      <m:mr>
                        <m:e>
                          <m:sSub>
                            <m:e>
                              <m:r>
                                <m:t>F</m:t>
                              </m:r>
                            </m:e>
                            <m:sub>
                              <m:sSub>
                                <m:e>
                                  <m:r>
                                    <m:rPr>
                                      <m:scr m:val="script"/>
                                      <m:sty m:val="p"/>
                                    </m:rPr>
                                    <m:t>D</m:t>
                                  </m:r>
                                </m:e>
                                <m:sub>
                                  <m:r>
                                    <m:t>s</m:t>
                                  </m:r>
                                </m:sub>
                              </m:sSub>
                              <m:r>
                                <m:rPr>
                                  <m:sty m:val="p"/>
                                </m:rPr>
                                <m:t>(</m:t>
                              </m:r>
                              <m:sSup>
                                <m:e>
                                  <m:r>
                                    <m:t>d</m:t>
                                  </m:r>
                                </m:e>
                                <m:sup>
                                  <m:r>
                                    <m:rPr>
                                      <m:sty m:val="p"/>
                                    </m:rPr>
                                    <m:t>′</m:t>
                                  </m:r>
                                </m:sup>
                              </m:sSup>
                              <m:r>
                                <m:rPr>
                                  <m:sty m:val="p"/>
                                </m:rPr>
                                <m:t>)</m:t>
                              </m:r>
                            </m:sub>
                          </m:sSub>
                          <m:r>
                            <m:rPr>
                              <m:sty m:val="p"/>
                            </m:rPr>
                            <m:t>(</m:t>
                          </m:r>
                          <m:r>
                            <m:t>c</m:t>
                          </m:r>
                          <m:r>
                            <m:rPr>
                              <m:sty m:val="p"/>
                            </m:rPr>
                            <m:t>)</m:t>
                          </m:r>
                        </m:e>
                        <m:e>
                          <m:r>
                            <m:rPr>
                              <m:nor/>
                              <m:sty m:val="p"/>
                            </m:rPr>
                            <m:t>if </m:t>
                          </m:r>
                          <m:r>
                            <m:t>r</m:t>
                          </m:r>
                          <m:r>
                            <m:rPr>
                              <m:sty m:val="p"/>
                            </m:rPr>
                            <m:t>=</m:t>
                          </m:r>
                          <m:r>
                            <m:t>0</m:t>
                          </m:r>
                        </m:e>
                      </m:mr>
                    </m:m>
                  </m:e>
                </m:d>
              </m:e>
            </m:mr>
          </m:m>
        </m:oMath>
      </m:oMathPara>
    </w:p>
    <w:p>
      <w:pPr>
        <w:pStyle w:val="FirstParagraph"/>
      </w:pPr>
      <w:r>
        <w:t xml:space="preserve">For example, the observer’s Type I hit rate is</w:t>
      </w:r>
      <w:r>
        <w:t xml:space="preserve"> </w:t>
      </w:r>
      <m:oMath>
        <m:r>
          <m:t>P</m:t>
        </m:r>
        <m:r>
          <m:rPr>
            <m:sty m:val="p"/>
          </m:rPr>
          <m:t>(</m:t>
        </m:r>
        <m:r>
          <m:t>R</m:t>
        </m:r>
        <m:r>
          <m:rPr>
            <m:sty m:val="p"/>
          </m:rPr>
          <m:t>=</m:t>
        </m:r>
        <m:r>
          <m:t>1</m:t>
        </m:r>
        <m:r>
          <m:t> </m:t>
        </m:r>
        <m:r>
          <m:rPr>
            <m:sty m:val="p"/>
          </m:rPr>
          <m:t>|</m:t>
        </m:r>
        <m:r>
          <m:t> </m:t>
        </m:r>
        <m:r>
          <m:t>S</m:t>
        </m:r>
        <m:r>
          <m:rPr>
            <m:sty m:val="p"/>
          </m:rPr>
          <m:t>=</m:t>
        </m:r>
        <m:r>
          <m:t>1</m:t>
        </m:r>
        <m:r>
          <m:rPr>
            <m:sty m:val="p"/>
          </m:rPr>
          <m:t>)</m:t>
        </m:r>
        <m:r>
          <m:rPr>
            <m:sty m:val="p"/>
          </m:rPr>
          <m:t>=</m:t>
        </m:r>
        <m:r>
          <m:t>1</m:t>
        </m:r>
        <m:r>
          <m:rPr>
            <m:sty m:val="p"/>
          </m:rPr>
          <m:t>−</m:t>
        </m:r>
        <m:sSub>
          <m:e>
            <m:r>
              <m:t>F</m:t>
            </m:r>
          </m:e>
          <m:sub>
            <m:sSub>
              <m:e>
                <m:r>
                  <m:rPr>
                    <m:scr m:val="script"/>
                    <m:sty m:val="p"/>
                  </m:rPr>
                  <m:t>D</m:t>
                </m:r>
              </m:e>
              <m:sub>
                <m:r>
                  <m:t>1</m:t>
                </m:r>
              </m:sub>
            </m:sSub>
            <m:r>
              <m:rPr>
                <m:sty m:val="p"/>
              </m:rPr>
              <m:t>(</m:t>
            </m:r>
            <m:sSup>
              <m:e>
                <m:r>
                  <m:t>d</m:t>
                </m:r>
              </m:e>
              <m:sup>
                <m:r>
                  <m:rPr>
                    <m:sty m:val="p"/>
                  </m:rPr>
                  <m:t>′</m:t>
                </m:r>
              </m:sup>
            </m:sSup>
            <m:r>
              <m:rPr>
                <m:sty m:val="p"/>
              </m:rPr>
              <m:t>)</m:t>
            </m:r>
          </m:sub>
        </m:sSub>
        <m:r>
          <m:rPr>
            <m:sty m:val="p"/>
          </m:rPr>
          <m:t>(</m:t>
        </m:r>
        <m:r>
          <m:t>c</m:t>
        </m:r>
        <m:r>
          <m:rPr>
            <m:sty m:val="p"/>
          </m:rPr>
          <m:t>)</m:t>
        </m:r>
      </m:oMath>
      <w:r>
        <w:t xml:space="preserve"> </w:t>
      </w:r>
      <w:r>
        <w:t xml:space="preserve">and their Type I false alarm rate is</w:t>
      </w:r>
      <w:r>
        <w:t xml:space="preserve"> </w:t>
      </w:r>
      <m:oMath>
        <m:r>
          <m:t>P</m:t>
        </m:r>
        <m:r>
          <m:rPr>
            <m:sty m:val="p"/>
          </m:rPr>
          <m:t>(</m:t>
        </m:r>
        <m:r>
          <m:t>R</m:t>
        </m:r>
        <m:r>
          <m:rPr>
            <m:sty m:val="p"/>
          </m:rPr>
          <m:t>=</m:t>
        </m:r>
        <m:r>
          <m:t>1</m:t>
        </m:r>
        <m:r>
          <m:t> </m:t>
        </m:r>
        <m:r>
          <m:rPr>
            <m:sty m:val="p"/>
          </m:rPr>
          <m:t>|</m:t>
        </m:r>
        <m:r>
          <m:t> </m:t>
        </m:r>
        <m:r>
          <m:t>S</m:t>
        </m:r>
        <m:r>
          <m:rPr>
            <m:sty m:val="p"/>
          </m:rPr>
          <m:t>=</m:t>
        </m:r>
        <m:r>
          <m:t>0</m:t>
        </m:r>
        <m:r>
          <m:rPr>
            <m:sty m:val="p"/>
          </m:rPr>
          <m:t>)</m:t>
        </m:r>
        <m:r>
          <m:rPr>
            <m:sty m:val="p"/>
          </m:rPr>
          <m:t>=</m:t>
        </m:r>
        <m:r>
          <m:t>1</m:t>
        </m:r>
        <m:r>
          <m:rPr>
            <m:sty m:val="p"/>
          </m:rPr>
          <m:t>−</m:t>
        </m:r>
        <m:sSub>
          <m:e>
            <m:r>
              <m:t>F</m:t>
            </m:r>
          </m:e>
          <m:sub>
            <m:sSub>
              <m:e>
                <m:r>
                  <m:rPr>
                    <m:scr m:val="script"/>
                    <m:sty m:val="p"/>
                  </m:rPr>
                  <m:t>D</m:t>
                </m:r>
              </m:e>
              <m:sub>
                <m:r>
                  <m:t>0</m:t>
                </m:r>
              </m:sub>
            </m:sSub>
            <m:r>
              <m:rPr>
                <m:sty m:val="p"/>
              </m:rPr>
              <m:t>(</m:t>
            </m:r>
            <m:sSup>
              <m:e>
                <m:r>
                  <m:t>d</m:t>
                </m:r>
              </m:e>
              <m:sup>
                <m:r>
                  <m:rPr>
                    <m:sty m:val="p"/>
                  </m:rPr>
                  <m:t>′</m:t>
                </m:r>
              </m:sup>
            </m:sSup>
            <m:r>
              <m:rPr>
                <m:sty m:val="p"/>
              </m:rPr>
              <m:t>)</m:t>
            </m:r>
          </m:sub>
        </m:sSub>
        <m:r>
          <m:rPr>
            <m:sty m:val="p"/>
          </m:rPr>
          <m:t>(</m:t>
        </m:r>
        <m:r>
          <m:t>c</m:t>
        </m:r>
        <m:r>
          <m:rPr>
            <m:sty m:val="p"/>
          </m:rPr>
          <m:t>)</m:t>
        </m:r>
      </m:oMath>
      <w:r>
        <w:t xml:space="preserve">.</w:t>
      </w:r>
    </w:p>
    <w:bookmarkEnd w:id="52"/>
    <w:bookmarkStart w:id="53" w:name="type-ii-responses"/>
    <w:p>
      <w:pPr>
        <w:pStyle w:val="Heading3"/>
      </w:pPr>
      <w:r>
        <w:t xml:space="preserve">Type II responses</w:t>
      </w:r>
    </w:p>
    <w:p>
      <w:pPr>
        <w:pStyle w:val="FirstParagraph"/>
      </w:pPr>
      <w:r>
        <w:t xml:space="preserve">In the Type II task, the observer is asked to determine their confidence in their Type I response. A crucial aspect of the</w:t>
      </w:r>
      <w:r>
        <w:t xml:space="preserve"> </w:t>
      </w:r>
      <m:oMath>
        <m:r>
          <m:rPr>
            <m:nor/>
            <m:sty m:val="p"/>
          </m:rPr>
          <m:t>meta-</m:t>
        </m:r>
        <m:sSup>
          <m:e>
            <m:r>
              <m:t>d</m:t>
            </m:r>
          </m:e>
          <m:sup>
            <m:r>
              <m:rPr>
                <m:sty m:val="p"/>
              </m:rPr>
              <m:t>′</m:t>
            </m:r>
          </m:sup>
        </m:sSup>
      </m:oMath>
      <w:r>
        <w:t xml:space="preserve"> </w:t>
      </w:r>
      <w:r>
        <w:t xml:space="preserve">model is that it does not assume that the observer has access to the same information for the Type I and Type II tasks: it could be the case that the observer gained or lost information about the stimulus after the Type I response was made. As a result, the</w:t>
      </w:r>
      <w:r>
        <w:t xml:space="preserve"> </w:t>
      </w:r>
      <m:oMath>
        <m:r>
          <m:rPr>
            <m:nor/>
            <m:sty m:val="p"/>
          </m:rPr>
          <m:t>meta-</m:t>
        </m:r>
        <m:sSup>
          <m:e>
            <m:r>
              <m:t>d</m:t>
            </m:r>
          </m:e>
          <m:sup>
            <m:r>
              <m:rPr>
                <m:sty m:val="p"/>
              </m:rPr>
              <m:t>′</m:t>
            </m:r>
          </m:sup>
        </m:sSup>
      </m:oMath>
      <w:r>
        <w:t xml:space="preserve"> </w:t>
      </w:r>
      <w:r>
        <w:t xml:space="preserve">model assumes that the observer makes Type II responses using a separate decision variable (</w:t>
      </w:r>
      <w:hyperlink w:anchor="fig-metad-model">
        <w:r>
          <w:rPr>
            <w:rStyle w:val="Hyperlink"/>
          </w:rPr>
          <w:t xml:space="preserve">Figure 2</w:t>
        </w:r>
      </w:hyperlink>
      <w:r>
        <w:t xml:space="preserve">B) following a truncated distribution (with superscripts indicating truncation bounds):</w:t>
      </w:r>
    </w:p>
    <w:p>
      <w:pPr>
        <w:pStyle w:val="BodyText"/>
      </w:pPr>
      <m:oMathPara>
        <m:oMathParaPr>
          <m:jc m:val="center"/>
        </m:oMathParaPr>
        <m:oMath>
          <m:m>
            <m:mPr>
              <m:baseJc m:val="center"/>
              <m:plcHide m:val="on"/>
              <m:mcs>
                <m:mc>
                  <m:mcPr>
                    <m:mcJc m:val="right"/>
                    <m:count m:val="1"/>
                  </m:mcPr>
                </m:mc>
              </m:mcs>
            </m:mPr>
            <m:mr>
              <m:e>
                <m:sSub>
                  <m:e>
                    <m:r>
                      <m:t>x</m:t>
                    </m:r>
                  </m:e>
                  <m:sub>
                    <m:r>
                      <m:t>2</m:t>
                    </m:r>
                  </m:sub>
                </m:sSub>
                <m:r>
                  <m:rPr>
                    <m:sty m:val="p"/>
                  </m:rPr>
                  <m:t>∼</m:t>
                </m:r>
                <m:d>
                  <m:dPr>
                    <m:begChr m:val="{"/>
                    <m:sepChr m:val=""/>
                    <m:endChr m:val=""/>
                    <m:grow/>
                  </m:dPr>
                  <m:e>
                    <m:m>
                      <m:mPr>
                        <m:baseJc m:val="center"/>
                        <m:plcHide m:val="on"/>
                        <m:mcs>
                          <m:mc>
                            <m:mcPr>
                              <m:mcJc m:val="left"/>
                              <m:count m:val="1"/>
                            </m:mcPr>
                          </m:mc>
                          <m:mc>
                            <m:mcPr>
                              <m:mcJc m:val="left"/>
                              <m:count m:val="1"/>
                            </m:mcPr>
                          </m:mc>
                        </m:mcs>
                      </m:mPr>
                      <m:mr>
                        <m:e>
                          <m:sSubSup>
                            <m:e>
                              <m:r>
                                <m:rPr>
                                  <m:scr m:val="script"/>
                                  <m:sty m:val="p"/>
                                </m:rPr>
                                <m:t>D</m:t>
                              </m:r>
                            </m:e>
                            <m:sub>
                              <m:r>
                                <m:t>S</m:t>
                              </m:r>
                            </m:sub>
                            <m:sup>
                              <m:r>
                                <m:rPr>
                                  <m:sty m:val="p"/>
                                </m:rPr>
                                <m:t>(</m:t>
                              </m:r>
                              <m:r>
                                <m:rPr>
                                  <m:sty m:val="p"/>
                                </m:rPr>
                                <m:t>−</m:t>
                              </m:r>
                              <m:r>
                                <m:rPr>
                                  <m:sty m:val="p"/>
                                </m:rPr>
                                <m:t>∞</m:t>
                              </m:r>
                              <m:r>
                                <m:rPr>
                                  <m:sty m:val="p"/>
                                </m:rPr>
                                <m:t>,</m:t>
                              </m:r>
                              <m:r>
                                <m:rPr>
                                  <m:nor/>
                                  <m:sty m:val="p"/>
                                </m:rPr>
                                <m:t>meta-</m:t>
                              </m:r>
                              <m:r>
                                <m:t>c</m:t>
                              </m:r>
                              <m:r>
                                <m:rPr>
                                  <m:sty m:val="p"/>
                                </m:rPr>
                                <m:t>]</m:t>
                              </m:r>
                            </m:sup>
                          </m:sSubSup>
                          <m:r>
                            <m:rPr>
                              <m:sty m:val="p"/>
                            </m:rPr>
                            <m:t>(</m:t>
                          </m:r>
                          <m:r>
                            <m:rPr>
                              <m:nor/>
                              <m:sty m:val="p"/>
                            </m:rPr>
                            <m:t>meta-</m:t>
                          </m:r>
                          <m:sSup>
                            <m:e>
                              <m:r>
                                <m:t>d</m:t>
                              </m:r>
                            </m:e>
                            <m:sup>
                              <m:r>
                                <m:rPr>
                                  <m:sty m:val="p"/>
                                </m:rPr>
                                <m:t>′</m:t>
                              </m:r>
                            </m:sup>
                          </m:sSup>
                          <m:r>
                            <m:rPr>
                              <m:sty m:val="p"/>
                            </m:rPr>
                            <m:t>)</m:t>
                          </m:r>
                        </m:e>
                        <m:e>
                          <m:r>
                            <m:rPr>
                              <m:nor/>
                              <m:sty m:val="p"/>
                            </m:rPr>
                            <m:t>if </m:t>
                          </m:r>
                          <m:r>
                            <m:t>R</m:t>
                          </m:r>
                          <m:r>
                            <m:rPr>
                              <m:sty m:val="p"/>
                            </m:rPr>
                            <m:t>=</m:t>
                          </m:r>
                          <m:r>
                            <m:t>0</m:t>
                          </m:r>
                        </m:e>
                      </m:mr>
                      <m:mr>
                        <m:e>
                          <m:sSubSup>
                            <m:e>
                              <m:r>
                                <m:rPr>
                                  <m:scr m:val="script"/>
                                  <m:sty m:val="p"/>
                                </m:rPr>
                                <m:t>D</m:t>
                              </m:r>
                            </m:e>
                            <m:sub>
                              <m:r>
                                <m:t>S</m:t>
                              </m:r>
                            </m:sub>
                            <m:sup>
                              <m:r>
                                <m:rPr>
                                  <m:sty m:val="p"/>
                                </m:rPr>
                                <m:t>[</m:t>
                              </m:r>
                              <m:r>
                                <m:rPr>
                                  <m:nor/>
                                  <m:sty m:val="p"/>
                                </m:rPr>
                                <m:t>meta-</m:t>
                              </m:r>
                              <m:r>
                                <m:t>c</m:t>
                              </m:r>
                              <m:r>
                                <m:rPr>
                                  <m:sty m:val="p"/>
                                </m:rPr>
                                <m:t>,</m:t>
                              </m:r>
                              <m:r>
                                <m:rPr>
                                  <m:sty m:val="p"/>
                                </m:rPr>
                                <m:t>∞</m:t>
                              </m:r>
                              <m:r>
                                <m:rPr>
                                  <m:sty m:val="p"/>
                                </m:rPr>
                                <m:t>)</m:t>
                              </m:r>
                            </m:sup>
                          </m:sSubSup>
                          <m:r>
                            <m:rPr>
                              <m:sty m:val="p"/>
                            </m:rPr>
                            <m:t>(</m:t>
                          </m:r>
                          <m:r>
                            <m:rPr>
                              <m:nor/>
                              <m:sty m:val="p"/>
                            </m:rPr>
                            <m:t>meta-</m:t>
                          </m:r>
                          <m:sSup>
                            <m:e>
                              <m:r>
                                <m:t>d</m:t>
                              </m:r>
                            </m:e>
                            <m:sup>
                              <m:r>
                                <m:rPr>
                                  <m:sty m:val="p"/>
                                </m:rPr>
                                <m:t>′</m:t>
                              </m:r>
                            </m:sup>
                          </m:sSup>
                          <m:r>
                            <m:rPr>
                              <m:sty m:val="p"/>
                            </m:rPr>
                            <m:t>)</m:t>
                          </m:r>
                        </m:e>
                        <m:e>
                          <m:r>
                            <m:rPr>
                              <m:nor/>
                              <m:sty m:val="p"/>
                            </m:rPr>
                            <m:t>if </m:t>
                          </m:r>
                          <m:r>
                            <m:t>R</m:t>
                          </m:r>
                          <m:r>
                            <m:rPr>
                              <m:sty m:val="p"/>
                            </m:rPr>
                            <m:t>=</m:t>
                          </m:r>
                          <m:r>
                            <m:t>1</m:t>
                          </m:r>
                        </m:e>
                      </m:mr>
                    </m:m>
                  </m:e>
                </m:d>
              </m:e>
            </m:mr>
          </m:m>
        </m:oMath>
      </m:oMathPara>
    </w:p>
    <w:p>
      <w:pPr>
        <w:pStyle w:val="FirstParagraph"/>
      </w:pPr>
      <w:r>
        <w:t xml:space="preserve">This Type II decision variable has two important characteristics. First, parameters used to generate Type II responses are named with the prefix</w:t>
      </w:r>
      <w:r>
        <w:t xml:space="preserve"> </w:t>
      </w:r>
      <w:r>
        <w:t xml:space="preserve">“meta-”</w:t>
      </w:r>
      <w:r>
        <w:t xml:space="preserve"> </w:t>
      </w:r>
      <w:r>
        <w:t xml:space="preserve">to distinguish them from parameters used to generate the Type I responses. Second,</w:t>
      </w:r>
      <w:r>
        <w:t xml:space="preserve"> </w:t>
      </w:r>
      <m:oMath>
        <m:sSub>
          <m:e>
            <m:r>
              <m:t>x</m:t>
            </m:r>
          </m:e>
          <m:sub>
            <m:r>
              <m:t>2</m:t>
            </m:r>
          </m:sub>
        </m:sSub>
      </m:oMath>
      <w:r>
        <w:t xml:space="preserve"> </w:t>
      </w:r>
      <w:r>
        <w:t xml:space="preserve">is upper-bounded by</w:t>
      </w:r>
      <w:r>
        <w:t xml:space="preserve"> </w:t>
      </w:r>
      <m:oMath>
        <m:r>
          <m:rPr>
            <m:nor/>
            <m:sty m:val="p"/>
          </m:rPr>
          <m:t>meta-</m:t>
        </m:r>
        <m:r>
          <m:t>c</m:t>
        </m:r>
      </m:oMath>
      <w:r>
        <w:t xml:space="preserve"> </w:t>
      </w:r>
      <w:r>
        <w:t xml:space="preserve">when</w:t>
      </w:r>
      <w:r>
        <w:t xml:space="preserve"> </w:t>
      </w:r>
      <m:oMath>
        <m:r>
          <m:t>R</m:t>
        </m:r>
        <m:r>
          <m:rPr>
            <m:sty m:val="p"/>
          </m:rPr>
          <m:t>=</m:t>
        </m:r>
        <m:r>
          <m:t>0</m:t>
        </m:r>
      </m:oMath>
      <w:r>
        <w:t xml:space="preserve"> </w:t>
      </w:r>
      <w:r>
        <w:t xml:space="preserve">and lower-bounded by</w:t>
      </w:r>
      <w:r>
        <w:t xml:space="preserve"> </w:t>
      </w:r>
      <m:oMath>
        <m:r>
          <m:rPr>
            <m:nor/>
            <m:sty m:val="p"/>
          </m:rPr>
          <m:t>meta-</m:t>
        </m:r>
        <m:r>
          <m:t>c</m:t>
        </m:r>
      </m:oMath>
      <w:r>
        <w:t xml:space="preserve"> </w:t>
      </w:r>
      <w:r>
        <w:t xml:space="preserve">when</w:t>
      </w:r>
      <w:r>
        <w:t xml:space="preserve"> </w:t>
      </w:r>
      <m:oMath>
        <m:r>
          <m:t>R</m:t>
        </m:r>
        <m:r>
          <m:rPr>
            <m:sty m:val="p"/>
          </m:rPr>
          <m:t>=</m:t>
        </m:r>
        <m:r>
          <m:t>1</m:t>
        </m:r>
      </m:oMath>
      <w:r>
        <w:t xml:space="preserve"> </w:t>
      </w:r>
      <w:r>
        <w:t xml:space="preserve">so that</w:t>
      </w:r>
      <w:r>
        <w:t xml:space="preserve"> </w:t>
      </w:r>
      <m:oMath>
        <m:sSub>
          <m:e>
            <m:r>
              <m:t>x</m:t>
            </m:r>
          </m:e>
          <m:sub>
            <m:r>
              <m:t>2</m:t>
            </m:r>
          </m:sub>
        </m:sSub>
      </m:oMath>
      <w:r>
        <w:t xml:space="preserve"> </w:t>
      </w:r>
      <w:r>
        <w:t xml:space="preserve">cannot contradict the Type I response implied by</w:t>
      </w:r>
      <w:r>
        <w:t xml:space="preserve"> </w:t>
      </w:r>
      <m:oMath>
        <m:sSub>
          <m:e>
            <m:r>
              <m:t>x</m:t>
            </m:r>
          </m:e>
          <m:sub>
            <m:r>
              <m:t>1</m:t>
            </m:r>
          </m:sub>
        </m:sSub>
      </m:oMath>
      <w:r>
        <w:t xml:space="preserve"> </w:t>
      </w:r>
      <w:r>
        <w:t xml:space="preserve">(i.e., the</w:t>
      </w:r>
      <w:r>
        <w:t xml:space="preserve"> </w:t>
      </w:r>
      <m:oMath>
        <m:r>
          <m:rPr>
            <m:nor/>
            <m:sty m:val="p"/>
          </m:rPr>
          <m:t>meta-</m:t>
        </m:r>
        <m:sSup>
          <m:e>
            <m:r>
              <m:t>d</m:t>
            </m:r>
          </m:e>
          <m:sup>
            <m:r>
              <m:rPr>
                <m:sty m:val="p"/>
              </m:rPr>
              <m:t>′</m:t>
            </m:r>
          </m:sup>
        </m:sSup>
      </m:oMath>
      <w:r>
        <w:t xml:space="preserve"> </w:t>
      </w:r>
      <w:r>
        <w:t xml:space="preserve">model does not allow for changes of mind between Type I and Type II responses). Then, to determine the confidence level</w:t>
      </w:r>
      <w:r>
        <w:t xml:space="preserve"> </w:t>
      </w:r>
      <m:oMath>
        <m:r>
          <m:t>C</m:t>
        </m:r>
        <m:r>
          <m:rPr>
            <m:sty m:val="p"/>
          </m:rPr>
          <m:t>∈</m:t>
        </m:r>
        <m:r>
          <m:rPr>
            <m:sty m:val="p"/>
          </m:rPr>
          <m:t>{</m:t>
        </m:r>
        <m:r>
          <m:t>1</m:t>
        </m:r>
        <m:r>
          <m:rPr>
            <m:sty m:val="p"/>
          </m:rPr>
          <m:t>…</m:t>
        </m:r>
        <m:r>
          <m:t>K</m:t>
        </m:r>
        <m:r>
          <m:rPr>
            <m:sty m:val="p"/>
          </m:rPr>
          <m:t>}</m:t>
        </m:r>
      </m:oMath>
      <w:r>
        <w:t xml:space="preserve">, the observer rates confidence using a set of</w:t>
      </w:r>
      <w:r>
        <w:t xml:space="preserve"> </w:t>
      </w:r>
      <m:oMath>
        <m:r>
          <m:t>K</m:t>
        </m:r>
        <m:r>
          <m:rPr>
            <m:sty m:val="p"/>
          </m:rPr>
          <m:t>−</m:t>
        </m:r>
        <m:r>
          <m:t>1</m:t>
        </m:r>
      </m:oMath>
      <w:r>
        <w:t xml:space="preserve"> </w:t>
      </w:r>
      <w:r>
        <w:t xml:space="preserve">ordered confidence criteria,</w:t>
      </w:r>
      <w:r>
        <w:t xml:space="preserve"> </w:t>
      </w:r>
      <m:oMath>
        <m:r>
          <m:rPr>
            <m:nor/>
            <m:sty m:val="b"/>
          </m:rPr>
          <m:t>meta-</m:t>
        </m:r>
        <m:sSubSup>
          <m:e>
            <m:r>
              <m:rPr>
                <m:sty m:val="bi"/>
              </m:rPr>
              <m:t>c</m:t>
            </m:r>
          </m:e>
          <m:sub>
            <m:r>
              <m:rPr>
                <m:sty m:val="b"/>
              </m:rPr>
              <m:t>2</m:t>
            </m:r>
          </m:sub>
          <m:sup>
            <m:r>
              <m:rPr>
                <m:sty m:val="bi"/>
              </m:rPr>
              <m:t>R</m:t>
            </m:r>
          </m:sup>
        </m:sSubSup>
      </m:oMath>
      <w:r>
        <w:t xml:space="preserve">:</w:t>
      </w:r>
    </w:p>
    <w:p>
      <w:pPr>
        <w:pStyle w:val="BodyText"/>
      </w:pPr>
      <m:oMathPara>
        <m:oMathParaPr>
          <m:jc m:val="center"/>
        </m:oMathParaPr>
        <m:oMath>
          <m:eqArr>
            <m:e>
              <m:r>
                <m:t>C</m:t>
              </m:r>
              <m:r>
                <m:t>&amp;</m:t>
              </m:r>
              <m:r>
                <m:rPr>
                  <m:sty m:val="p"/>
                </m:rPr>
                <m:t>=</m:t>
              </m:r>
              <m:d>
                <m:dPr>
                  <m:begChr m:val="{"/>
                  <m:sepChr m:val=""/>
                  <m:endChr m:val=""/>
                  <m:grow/>
                </m:dPr>
                <m:e>
                  <m:m>
                    <m:mPr>
                      <m:baseJc m:val="center"/>
                      <m:plcHide m:val="on"/>
                      <m:mcs>
                        <m:mc>
                          <m:mcPr>
                            <m:mcJc m:val="left"/>
                            <m:count m:val="1"/>
                          </m:mcPr>
                        </m:mc>
                        <m:mc>
                          <m:mcPr>
                            <m:mcJc m:val="left"/>
                            <m:count m:val="1"/>
                          </m:mcPr>
                        </m:mc>
                      </m:mcs>
                    </m:mPr>
                    <m:mr>
                      <m:e>
                        <m:r>
                          <m:t>1</m:t>
                        </m:r>
                        <m:r>
                          <m:rPr>
                            <m:sty m:val="p"/>
                          </m:rPr>
                          <m:t>+</m:t>
                        </m:r>
                        <m:sSubSup>
                          <m:e>
                            <m:r>
                              <m:rPr>
                                <m:sty m:val="p"/>
                              </m:rPr>
                              <m:t>Σ</m:t>
                            </m:r>
                          </m:e>
                          <m:sub>
                            <m:r>
                              <m:t>k</m:t>
                            </m:r>
                            <m:r>
                              <m:rPr>
                                <m:sty m:val="p"/>
                              </m:rPr>
                              <m:t>=</m:t>
                            </m:r>
                            <m:r>
                              <m:t>1</m:t>
                            </m:r>
                          </m:sub>
                          <m:sup>
                            <m:r>
                              <m:t>K</m:t>
                            </m:r>
                            <m:r>
                              <m:rPr>
                                <m:sty m:val="p"/>
                              </m:rPr>
                              <m:t>−</m:t>
                            </m:r>
                            <m:r>
                              <m:t>1</m:t>
                            </m:r>
                          </m:sup>
                        </m:sSubSup>
                        <m:r>
                          <m:rPr>
                            <m:sty m:val="p"/>
                          </m:rPr>
                          <m:t>[</m:t>
                        </m:r>
                        <m:sSub>
                          <m:e>
                            <m:r>
                              <m:t>x</m:t>
                            </m:r>
                          </m:e>
                          <m:sub>
                            <m:r>
                              <m:t>2</m:t>
                            </m:r>
                          </m:sub>
                        </m:sSub>
                        <m:r>
                          <m:rPr>
                            <m:sty m:val="p"/>
                          </m:rPr>
                          <m:t>&lt;</m:t>
                        </m:r>
                        <m:r>
                          <m:rPr>
                            <m:nor/>
                            <m:sty m:val="p"/>
                          </m:rPr>
                          <m:t>meta-</m:t>
                        </m:r>
                        <m:sSubSup>
                          <m:e>
                            <m:r>
                              <m:t>c</m:t>
                            </m:r>
                          </m:e>
                          <m:sub>
                            <m:r>
                              <m:t>2</m:t>
                            </m:r>
                            <m:r>
                              <m:rPr>
                                <m:sty m:val="p"/>
                              </m:rPr>
                              <m:t>,</m:t>
                            </m:r>
                            <m:r>
                              <m:t>k</m:t>
                            </m:r>
                          </m:sub>
                          <m:sup>
                            <m:r>
                              <m:t>0</m:t>
                            </m:r>
                          </m:sup>
                        </m:sSubSup>
                        <m:r>
                          <m:rPr>
                            <m:sty m:val="p"/>
                          </m:rPr>
                          <m:t>]</m:t>
                        </m:r>
                      </m:e>
                      <m:e>
                        <m:r>
                          <m:rPr>
                            <m:nor/>
                            <m:sty m:val="p"/>
                          </m:rPr>
                          <m:t>if </m:t>
                        </m:r>
                        <m:r>
                          <m:t>R</m:t>
                        </m:r>
                        <m:r>
                          <m:rPr>
                            <m:sty m:val="p"/>
                          </m:rPr>
                          <m:t>=</m:t>
                        </m:r>
                        <m:r>
                          <m:t>0</m:t>
                        </m:r>
                      </m:e>
                    </m:mr>
                    <m:mr>
                      <m:e>
                        <m:r>
                          <m:t>1</m:t>
                        </m:r>
                        <m:r>
                          <m:rPr>
                            <m:sty m:val="p"/>
                          </m:rPr>
                          <m:t>+</m:t>
                        </m:r>
                        <m:sSubSup>
                          <m:e>
                            <m:r>
                              <m:rPr>
                                <m:sty m:val="p"/>
                              </m:rPr>
                              <m:t>Σ</m:t>
                            </m:r>
                          </m:e>
                          <m:sub>
                            <m:r>
                              <m:t>k</m:t>
                            </m:r>
                            <m:r>
                              <m:rPr>
                                <m:sty m:val="p"/>
                              </m:rPr>
                              <m:t>=</m:t>
                            </m:r>
                            <m:r>
                              <m:t>1</m:t>
                            </m:r>
                          </m:sub>
                          <m:sup>
                            <m:r>
                              <m:t>K</m:t>
                            </m:r>
                            <m:r>
                              <m:rPr>
                                <m:sty m:val="p"/>
                              </m:rPr>
                              <m:t>−</m:t>
                            </m:r>
                            <m:r>
                              <m:t>1</m:t>
                            </m:r>
                          </m:sup>
                        </m:sSubSup>
                        <m:r>
                          <m:rPr>
                            <m:sty m:val="p"/>
                          </m:rPr>
                          <m:t>[</m:t>
                        </m:r>
                        <m:sSub>
                          <m:e>
                            <m:r>
                              <m:t>x</m:t>
                            </m:r>
                          </m:e>
                          <m:sub>
                            <m:r>
                              <m:t>2</m:t>
                            </m:r>
                          </m:sub>
                        </m:sSub>
                        <m:r>
                          <m:rPr>
                            <m:sty m:val="p"/>
                          </m:rPr>
                          <m:t>&gt;</m:t>
                        </m:r>
                        <m:r>
                          <m:rPr>
                            <m:nor/>
                            <m:sty m:val="p"/>
                          </m:rPr>
                          <m:t>meta-</m:t>
                        </m:r>
                        <m:sSubSup>
                          <m:e>
                            <m:r>
                              <m:t>c</m:t>
                            </m:r>
                          </m:e>
                          <m:sub>
                            <m:r>
                              <m:t>2</m:t>
                            </m:r>
                            <m:r>
                              <m:rPr>
                                <m:sty m:val="p"/>
                              </m:rPr>
                              <m:t>,</m:t>
                            </m:r>
                            <m:r>
                              <m:t>k</m:t>
                            </m:r>
                          </m:sub>
                          <m:sup>
                            <m:r>
                              <m:t>1</m:t>
                            </m:r>
                          </m:sup>
                        </m:sSubSup>
                        <m:r>
                          <m:rPr>
                            <m:sty m:val="p"/>
                          </m:rPr>
                          <m:t>]</m:t>
                        </m:r>
                      </m:e>
                      <m:e>
                        <m:r>
                          <m:rPr>
                            <m:nor/>
                            <m:sty m:val="p"/>
                          </m:rPr>
                          <m:t>if </m:t>
                        </m:r>
                        <m:r>
                          <m:t>R</m:t>
                        </m:r>
                        <m:r>
                          <m:rPr>
                            <m:sty m:val="p"/>
                          </m:rPr>
                          <m:t>=</m:t>
                        </m:r>
                        <m:r>
                          <m:t>1</m:t>
                        </m:r>
                      </m:e>
                    </m:mr>
                  </m:m>
                </m:e>
              </m:d>
            </m:e>
          </m:eqArr>
        </m:oMath>
      </m:oMathPara>
    </w:p>
    <w:p>
      <w:pPr>
        <w:pStyle w:val="FirstParagraph"/>
      </w:pPr>
      <w:r>
        <w:t xml:space="preserve">As with the Type I response, it is most efficient to marginalize over</w:t>
      </w:r>
      <w:r>
        <w:t xml:space="preserve"> </w:t>
      </w:r>
      <m:oMath>
        <m:sSub>
          <m:e>
            <m:r>
              <m:t>x</m:t>
            </m:r>
          </m:e>
          <m:sub>
            <m:r>
              <m:t>2</m:t>
            </m:r>
          </m:sub>
        </m:sSub>
      </m:oMath>
      <w:r>
        <w:t xml:space="preserve"> </w:t>
      </w:r>
      <w:r>
        <w:t xml:space="preserve">to compute the probability of a Type II response given the stimulus and Type I response:</w:t>
      </w:r>
    </w:p>
    <w:p>
      <w:pPr>
        <w:pStyle w:val="BodyText"/>
      </w:pPr>
      <m:oMathPara>
        <m:oMathParaPr>
          <m:jc m:val="center"/>
        </m:oMathParaPr>
        <m:oMath>
          <m:eqArr>
            <m:e>
              <m:r>
                <m:t>P</m:t>
              </m:r>
              <m:r>
                <m:rPr>
                  <m:sty m:val="p"/>
                </m:rPr>
                <m:t>(</m:t>
              </m:r>
              <m:r>
                <m:t>C</m:t>
              </m:r>
              <m:r>
                <m:rPr>
                  <m:sty m:val="p"/>
                </m:rPr>
                <m:t>=</m:t>
              </m:r>
              <m:r>
                <m:t>c</m:t>
              </m:r>
              <m:r>
                <m:t> </m:t>
              </m:r>
              <m:r>
                <m:rPr>
                  <m:sty m:val="p"/>
                </m:rPr>
                <m:t>|</m:t>
              </m:r>
              <m:r>
                <m:t> </m:t>
              </m:r>
              <m:r>
                <m:t>S</m:t>
              </m:r>
              <m:r>
                <m:rPr>
                  <m:sty m:val="p"/>
                </m:rPr>
                <m:t>=</m:t>
              </m:r>
              <m:r>
                <m:t>s</m:t>
              </m:r>
              <m:r>
                <m:rPr>
                  <m:sty m:val="p"/>
                </m:rPr>
                <m:t>,</m:t>
              </m:r>
              <m:r>
                <m:t>R</m:t>
              </m:r>
              <m:r>
                <m:rPr>
                  <m:sty m:val="p"/>
                </m:rPr>
                <m:t>=</m:t>
              </m:r>
              <m:r>
                <m:t>r</m:t>
              </m:r>
              <m:r>
                <m:rPr>
                  <m:sty m:val="p"/>
                </m:rPr>
                <m:t>)</m:t>
              </m:r>
              <m:r>
                <m:t>&amp;</m:t>
              </m:r>
              <m:r>
                <m:rPr>
                  <m:sty m:val="p"/>
                </m:rPr>
                <m:t>=</m:t>
              </m:r>
              <m:d>
                <m:dPr>
                  <m:begChr m:val="{"/>
                  <m:sepChr m:val=""/>
                  <m:endChr m:val=""/>
                  <m:grow/>
                </m:dPr>
                <m:e>
                  <m:m>
                    <m:mPr>
                      <m:baseJc m:val="center"/>
                      <m:plcHide m:val="on"/>
                      <m:mcs>
                        <m:mc>
                          <m:mcPr>
                            <m:mcJc m:val="left"/>
                            <m:count m:val="1"/>
                          </m:mcPr>
                        </m:mc>
                        <m:mc>
                          <m:mcPr>
                            <m:mcJc m:val="left"/>
                            <m:count m:val="1"/>
                          </m:mcPr>
                        </m:mc>
                      </m:mcs>
                    </m:mPr>
                    <m:mr>
                      <m:e>
                        <m:f>
                          <m:fPr>
                            <m:type m:val="bar"/>
                          </m:fPr>
                          <m:num>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r>
                                  <m:t>c</m:t>
                                </m:r>
                              </m:e>
                            </m:d>
                            <m:r>
                              <m:rPr>
                                <m:sty m:val="p"/>
                              </m:rPr>
                              <m:t>−</m:t>
                            </m:r>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sSubSup>
                                  <m:e>
                                    <m:r>
                                      <m:t>c</m:t>
                                    </m:r>
                                  </m:e>
                                  <m:sub>
                                    <m:r>
                                      <m:t>2</m:t>
                                    </m:r>
                                    <m:r>
                                      <m:rPr>
                                        <m:sty m:val="p"/>
                                      </m:rPr>
                                      <m:t>,</m:t>
                                    </m:r>
                                    <m:r>
                                      <m:t>1</m:t>
                                    </m:r>
                                  </m:sub>
                                  <m:sup>
                                    <m:r>
                                      <m:t>0</m:t>
                                    </m:r>
                                  </m:sup>
                                </m:sSubSup>
                              </m:e>
                            </m:d>
                          </m:num>
                          <m:den>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r>
                                  <m:t>c</m:t>
                                </m:r>
                              </m:e>
                            </m:d>
                          </m:den>
                        </m:f>
                      </m:e>
                      <m:e>
                        <m:r>
                          <m:rPr>
                            <m:nor/>
                            <m:sty m:val="p"/>
                          </m:rPr>
                          <m:t>if </m:t>
                        </m:r>
                        <m:r>
                          <m:t>r</m:t>
                        </m:r>
                        <m:r>
                          <m:rPr>
                            <m:sty m:val="p"/>
                          </m:rPr>
                          <m:t>=</m:t>
                        </m:r>
                        <m:r>
                          <m:t>0</m:t>
                        </m:r>
                        <m:r>
                          <m:rPr>
                            <m:sty m:val="p"/>
                          </m:rPr>
                          <m:t>,</m:t>
                        </m:r>
                        <m:r>
                          <m:t>c</m:t>
                        </m:r>
                        <m:r>
                          <m:rPr>
                            <m:sty m:val="p"/>
                          </m:rPr>
                          <m:t>=</m:t>
                        </m:r>
                        <m:r>
                          <m:t>1</m:t>
                        </m:r>
                      </m:e>
                    </m:mr>
                    <m:mr>
                      <m:e>
                        <m:f>
                          <m:fPr>
                            <m:type m:val="bar"/>
                          </m:fPr>
                          <m:num>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sSubSup>
                                  <m:e>
                                    <m:r>
                                      <m:t>c</m:t>
                                    </m:r>
                                  </m:e>
                                  <m:sub>
                                    <m:r>
                                      <m:t>2</m:t>
                                    </m:r>
                                    <m:r>
                                      <m:rPr>
                                        <m:sty m:val="p"/>
                                      </m:rPr>
                                      <m:t>,</m:t>
                                    </m:r>
                                    <m:r>
                                      <m:t>k</m:t>
                                    </m:r>
                                  </m:sub>
                                  <m:sup>
                                    <m:r>
                                      <m:t>0</m:t>
                                    </m:r>
                                  </m:sup>
                                </m:sSubSup>
                              </m:e>
                            </m:d>
                            <m:r>
                              <m:rPr>
                                <m:sty m:val="p"/>
                              </m:rPr>
                              <m:t>−</m:t>
                            </m:r>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sSubSup>
                                  <m:e>
                                    <m:r>
                                      <m:t>c</m:t>
                                    </m:r>
                                  </m:e>
                                  <m:sub>
                                    <m:r>
                                      <m:t>2</m:t>
                                    </m:r>
                                    <m:r>
                                      <m:rPr>
                                        <m:sty m:val="p"/>
                                      </m:rPr>
                                      <m:t>,</m:t>
                                    </m:r>
                                    <m:r>
                                      <m:t>k</m:t>
                                    </m:r>
                                    <m:r>
                                      <m:rPr>
                                        <m:sty m:val="p"/>
                                      </m:rPr>
                                      <m:t>+</m:t>
                                    </m:r>
                                    <m:r>
                                      <m:t>1</m:t>
                                    </m:r>
                                  </m:sub>
                                  <m:sup>
                                    <m:r>
                                      <m:t>0</m:t>
                                    </m:r>
                                  </m:sup>
                                </m:sSubSup>
                              </m:e>
                            </m:d>
                          </m:num>
                          <m:den>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r>
                                  <m:t>c</m:t>
                                </m:r>
                              </m:e>
                            </m:d>
                          </m:den>
                        </m:f>
                      </m:e>
                      <m:e>
                        <m:r>
                          <m:rPr>
                            <m:nor/>
                            <m:sty m:val="p"/>
                          </m:rPr>
                          <m:t>if </m:t>
                        </m:r>
                        <m:r>
                          <m:t>r</m:t>
                        </m:r>
                        <m:r>
                          <m:rPr>
                            <m:sty m:val="p"/>
                          </m:rPr>
                          <m:t>=</m:t>
                        </m:r>
                        <m:r>
                          <m:t>0</m:t>
                        </m:r>
                        <m:r>
                          <m:rPr>
                            <m:sty m:val="p"/>
                          </m:rPr>
                          <m:t>,</m:t>
                        </m:r>
                        <m:r>
                          <m:t>1</m:t>
                        </m:r>
                        <m:r>
                          <m:rPr>
                            <m:sty m:val="p"/>
                          </m:rPr>
                          <m:t>≤</m:t>
                        </m:r>
                        <m:r>
                          <m:t>c</m:t>
                        </m:r>
                        <m:r>
                          <m:rPr>
                            <m:sty m:val="p"/>
                          </m:rPr>
                          <m:t>≤</m:t>
                        </m:r>
                        <m:r>
                          <m:t>K</m:t>
                        </m:r>
                      </m:e>
                    </m:mr>
                    <m:mr>
                      <m:e>
                        <m:f>
                          <m:fPr>
                            <m:type m:val="bar"/>
                          </m:fPr>
                          <m:num>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sSubSup>
                                  <m:e>
                                    <m:r>
                                      <m:t>c</m:t>
                                    </m:r>
                                  </m:e>
                                  <m:sub>
                                    <m:r>
                                      <m:t>2</m:t>
                                    </m:r>
                                    <m:r>
                                      <m:rPr>
                                        <m:sty m:val="p"/>
                                      </m:rPr>
                                      <m:t>,</m:t>
                                    </m:r>
                                    <m:r>
                                      <m:t>K</m:t>
                                    </m:r>
                                  </m:sub>
                                  <m:sup>
                                    <m:r>
                                      <m:t>0</m:t>
                                    </m:r>
                                  </m:sup>
                                </m:sSubSup>
                              </m:e>
                            </m:d>
                          </m:num>
                          <m:den>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r>
                                  <m:t>c</m:t>
                                </m:r>
                              </m:e>
                            </m:d>
                          </m:den>
                        </m:f>
                      </m:e>
                      <m:e>
                        <m:r>
                          <m:rPr>
                            <m:nor/>
                            <m:sty m:val="p"/>
                          </m:rPr>
                          <m:t>if </m:t>
                        </m:r>
                        <m:r>
                          <m:t>r</m:t>
                        </m:r>
                        <m:r>
                          <m:rPr>
                            <m:sty m:val="p"/>
                          </m:rPr>
                          <m:t>=</m:t>
                        </m:r>
                        <m:r>
                          <m:t>0</m:t>
                        </m:r>
                        <m:r>
                          <m:rPr>
                            <m:sty m:val="p"/>
                          </m:rPr>
                          <m:t>,</m:t>
                        </m:r>
                        <m:r>
                          <m:t>c</m:t>
                        </m:r>
                        <m:r>
                          <m:rPr>
                            <m:sty m:val="p"/>
                          </m:rPr>
                          <m:t>=</m:t>
                        </m:r>
                        <m:r>
                          <m:t>K</m:t>
                        </m:r>
                      </m:e>
                    </m:mr>
                    <m:mr>
                      <m:e>
                        <m:f>
                          <m:fPr>
                            <m:type m:val="bar"/>
                          </m:fPr>
                          <m:num>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sSubSup>
                                  <m:e>
                                    <m:r>
                                      <m:t>c</m:t>
                                    </m:r>
                                  </m:e>
                                  <m:sub>
                                    <m:r>
                                      <m:t>2</m:t>
                                    </m:r>
                                    <m:r>
                                      <m:rPr>
                                        <m:sty m:val="p"/>
                                      </m:rPr>
                                      <m:t>,</m:t>
                                    </m:r>
                                    <m:r>
                                      <m:t>1</m:t>
                                    </m:r>
                                  </m:sub>
                                  <m:sup>
                                    <m:r>
                                      <m:t>1</m:t>
                                    </m:r>
                                  </m:sup>
                                </m:sSubSup>
                              </m:e>
                            </m:d>
                            <m:r>
                              <m:rPr>
                                <m:sty m:val="p"/>
                              </m:rPr>
                              <m:t>−</m:t>
                            </m:r>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r>
                                  <m:t>c</m:t>
                                </m:r>
                              </m:e>
                            </m:d>
                          </m:num>
                          <m:den>
                            <m:r>
                              <m:t>1</m:t>
                            </m:r>
                            <m:r>
                              <m:rPr>
                                <m:sty m:val="p"/>
                              </m:rPr>
                              <m:t>−</m:t>
                            </m:r>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r>
                                  <m:t>c</m:t>
                                </m:r>
                              </m:e>
                            </m:d>
                          </m:den>
                        </m:f>
                      </m:e>
                      <m:e>
                        <m:r>
                          <m:rPr>
                            <m:nor/>
                            <m:sty m:val="p"/>
                          </m:rPr>
                          <m:t>if </m:t>
                        </m:r>
                        <m:r>
                          <m:t>r</m:t>
                        </m:r>
                        <m:r>
                          <m:rPr>
                            <m:sty m:val="p"/>
                          </m:rPr>
                          <m:t>=</m:t>
                        </m:r>
                        <m:r>
                          <m:t>1</m:t>
                        </m:r>
                        <m:r>
                          <m:rPr>
                            <m:sty m:val="p"/>
                          </m:rPr>
                          <m:t>,</m:t>
                        </m:r>
                        <m:r>
                          <m:t>c</m:t>
                        </m:r>
                        <m:r>
                          <m:rPr>
                            <m:sty m:val="p"/>
                          </m:rPr>
                          <m:t>=</m:t>
                        </m:r>
                        <m:r>
                          <m:t>1</m:t>
                        </m:r>
                      </m:e>
                    </m:mr>
                    <m:mr>
                      <m:e>
                        <m:f>
                          <m:fPr>
                            <m:type m:val="bar"/>
                          </m:fPr>
                          <m:num>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sSubSup>
                                  <m:e>
                                    <m:r>
                                      <m:t>c</m:t>
                                    </m:r>
                                  </m:e>
                                  <m:sub>
                                    <m:r>
                                      <m:t>2</m:t>
                                    </m:r>
                                    <m:r>
                                      <m:rPr>
                                        <m:sty m:val="p"/>
                                      </m:rPr>
                                      <m:t>,</m:t>
                                    </m:r>
                                    <m:r>
                                      <m:t>k</m:t>
                                    </m:r>
                                    <m:r>
                                      <m:rPr>
                                        <m:sty m:val="p"/>
                                      </m:rPr>
                                      <m:t>+</m:t>
                                    </m:r>
                                    <m:r>
                                      <m:t>1</m:t>
                                    </m:r>
                                  </m:sub>
                                  <m:sup>
                                    <m:r>
                                      <m:t>1</m:t>
                                    </m:r>
                                  </m:sup>
                                </m:sSubSup>
                              </m:e>
                            </m:d>
                            <m:r>
                              <m:rPr>
                                <m:sty m:val="p"/>
                              </m:rPr>
                              <m:t>−</m:t>
                            </m:r>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sSubSup>
                                  <m:e>
                                    <m:r>
                                      <m:t>c</m:t>
                                    </m:r>
                                  </m:e>
                                  <m:sub>
                                    <m:r>
                                      <m:t>2</m:t>
                                    </m:r>
                                    <m:r>
                                      <m:rPr>
                                        <m:sty m:val="p"/>
                                      </m:rPr>
                                      <m:t>,</m:t>
                                    </m:r>
                                    <m:r>
                                      <m:t>k</m:t>
                                    </m:r>
                                  </m:sub>
                                  <m:sup>
                                    <m:r>
                                      <m:t>1</m:t>
                                    </m:r>
                                  </m:sup>
                                </m:sSubSup>
                              </m:e>
                            </m:d>
                          </m:num>
                          <m:den>
                            <m:r>
                              <m:t>1</m:t>
                            </m:r>
                            <m:r>
                              <m:rPr>
                                <m:sty m:val="p"/>
                              </m:rPr>
                              <m:t>−</m:t>
                            </m:r>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r>
                                  <m:t>c</m:t>
                                </m:r>
                              </m:e>
                            </m:d>
                          </m:den>
                        </m:f>
                      </m:e>
                      <m:e>
                        <m:r>
                          <m:rPr>
                            <m:nor/>
                            <m:sty m:val="p"/>
                          </m:rPr>
                          <m:t>if </m:t>
                        </m:r>
                        <m:r>
                          <m:t>r</m:t>
                        </m:r>
                        <m:r>
                          <m:rPr>
                            <m:sty m:val="p"/>
                          </m:rPr>
                          <m:t>=</m:t>
                        </m:r>
                        <m:r>
                          <m:t>1</m:t>
                        </m:r>
                        <m:r>
                          <m:rPr>
                            <m:sty m:val="p"/>
                          </m:rPr>
                          <m:t>,</m:t>
                        </m:r>
                        <m:r>
                          <m:t>1</m:t>
                        </m:r>
                        <m:r>
                          <m:rPr>
                            <m:sty m:val="p"/>
                          </m:rPr>
                          <m:t>≤</m:t>
                        </m:r>
                        <m:r>
                          <m:t>c</m:t>
                        </m:r>
                        <m:r>
                          <m:rPr>
                            <m:sty m:val="p"/>
                          </m:rPr>
                          <m:t>≤</m:t>
                        </m:r>
                        <m:r>
                          <m:t>K</m:t>
                        </m:r>
                      </m:e>
                    </m:mr>
                    <m:mr>
                      <m:e>
                        <m:f>
                          <m:fPr>
                            <m:type m:val="bar"/>
                          </m:fPr>
                          <m:num>
                            <m:r>
                              <m:t>1</m:t>
                            </m:r>
                            <m:r>
                              <m:rPr>
                                <m:sty m:val="p"/>
                              </m:rPr>
                              <m:t>−</m:t>
                            </m:r>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sSubSup>
                                  <m:e>
                                    <m:r>
                                      <m:t>c</m:t>
                                    </m:r>
                                  </m:e>
                                  <m:sub>
                                    <m:r>
                                      <m:t>2</m:t>
                                    </m:r>
                                    <m:r>
                                      <m:rPr>
                                        <m:sty m:val="p"/>
                                      </m:rPr>
                                      <m:t>,</m:t>
                                    </m:r>
                                    <m:r>
                                      <m:t>K</m:t>
                                    </m:r>
                                  </m:sub>
                                  <m:sup>
                                    <m:r>
                                      <m:t>1</m:t>
                                    </m:r>
                                  </m:sup>
                                </m:sSubSup>
                              </m:e>
                            </m:d>
                          </m:num>
                          <m:den>
                            <m:r>
                              <m:t>1</m:t>
                            </m:r>
                            <m:r>
                              <m:rPr>
                                <m:sty m:val="p"/>
                              </m:rPr>
                              <m:t>−</m:t>
                            </m:r>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r>
                                  <m:t>c</m:t>
                                </m:r>
                              </m:e>
                            </m:d>
                          </m:den>
                        </m:f>
                      </m:e>
                      <m:e>
                        <m:r>
                          <m:rPr>
                            <m:nor/>
                            <m:sty m:val="p"/>
                          </m:rPr>
                          <m:t>if </m:t>
                        </m:r>
                        <m:r>
                          <m:t>r</m:t>
                        </m:r>
                        <m:r>
                          <m:rPr>
                            <m:sty m:val="p"/>
                          </m:rPr>
                          <m:t>=</m:t>
                        </m:r>
                        <m:r>
                          <m:t>1</m:t>
                        </m:r>
                        <m:r>
                          <m:rPr>
                            <m:sty m:val="p"/>
                          </m:rPr>
                          <m:t>,</m:t>
                        </m:r>
                        <m:r>
                          <m:t>c</m:t>
                        </m:r>
                        <m:r>
                          <m:rPr>
                            <m:sty m:val="p"/>
                          </m:rPr>
                          <m:t>=</m:t>
                        </m:r>
                        <m:r>
                          <m:t>K</m:t>
                        </m:r>
                      </m:e>
                    </m:mr>
                  </m:m>
                </m:e>
              </m:d>
            </m:e>
          </m:eqArr>
        </m:oMath>
      </m:oMathPara>
    </w:p>
    <w:p>
      <w:pPr>
        <w:pStyle w:val="FirstParagraph"/>
      </w:pPr>
      <w:r>
        <w:t xml:space="preserve">In each of these equations, the numerator is the probability that</w:t>
      </w:r>
      <w:r>
        <w:t xml:space="preserve"> </w:t>
      </w:r>
      <m:oMath>
        <m:sSub>
          <m:e>
            <m:r>
              <m:t>x</m:t>
            </m:r>
          </m:e>
          <m:sub>
            <m:r>
              <m:t>2</m:t>
            </m:r>
          </m:sub>
        </m:sSub>
      </m:oMath>
      <w:r>
        <w:t xml:space="preserve"> </w:t>
      </w:r>
      <w:r>
        <w:t xml:space="preserve">lies between the thresholds for confidence level</w:t>
      </w:r>
      <w:r>
        <w:t xml:space="preserve"> </w:t>
      </w:r>
      <m:oMath>
        <m:r>
          <m:t>c</m:t>
        </m:r>
      </m:oMath>
      <w:r>
        <w:t xml:space="preserve">, and the denominator is a normalization term to deal with the fact that</w:t>
      </w:r>
      <w:r>
        <w:t xml:space="preserve"> </w:t>
      </w:r>
      <m:oMath>
        <m:sSub>
          <m:e>
            <m:r>
              <m:t>x</m:t>
            </m:r>
          </m:e>
          <m:sub>
            <m:r>
              <m:t>2</m:t>
            </m:r>
          </m:sub>
        </m:sSub>
      </m:oMath>
      <w:r>
        <w:t xml:space="preserve"> </w:t>
      </w:r>
      <w:r>
        <w:t xml:space="preserve">is truncated above or below by</w:t>
      </w:r>
      <w:r>
        <w:t xml:space="preserve"> </w:t>
      </w:r>
      <m:oMath>
        <m:r>
          <m:rPr>
            <m:nor/>
            <m:sty m:val="p"/>
          </m:rPr>
          <m:t>meta-</m:t>
        </m:r>
        <m:r>
          <m:t>c</m:t>
        </m:r>
      </m:oMath>
      <w:r>
        <w:t xml:space="preserve">.</w:t>
      </w:r>
    </w:p>
    <w:bookmarkEnd w:id="53"/>
    <w:bookmarkStart w:id="54" w:name="joint-likelihood"/>
    <w:p>
      <w:pPr>
        <w:pStyle w:val="Heading3"/>
      </w:pPr>
      <w:r>
        <w:t xml:space="preserve">Joint likelihood</w:t>
      </w:r>
    </w:p>
    <w:p>
      <w:pPr>
        <w:pStyle w:val="FirstParagraph"/>
      </w:pPr>
      <w:r>
        <w:t xml:space="preserve">The</w:t>
      </w:r>
      <w:r>
        <w:t xml:space="preserve"> </w:t>
      </w:r>
      <m:oMath>
        <m:r>
          <m:rPr>
            <m:nor/>
            <m:sty m:val="p"/>
          </m:rPr>
          <m:t>meta-</m:t>
        </m:r>
        <m:sSup>
          <m:e>
            <m:r>
              <m:t>d</m:t>
            </m:r>
          </m:e>
          <m:sup>
            <m:r>
              <m:rPr>
                <m:sty m:val="p"/>
              </m:rPr>
              <m:t>′</m:t>
            </m:r>
          </m:sup>
        </m:sSup>
      </m:oMath>
      <w:r>
        <w:t xml:space="preserve"> </w:t>
      </w:r>
      <w:r>
        <w:t xml:space="preserve">model aims to explain the joint distribution of Type I and Type II responses, which can conveniently be factored into a product of the Type I and Type II response probabilities (</w:t>
      </w:r>
      <w:hyperlink w:anchor="fig-metad-model">
        <w:r>
          <w:rPr>
            <w:rStyle w:val="Hyperlink"/>
          </w:rPr>
          <w:t xml:space="preserve">Figure 2</w:t>
        </w:r>
      </w:hyperlink>
      <w:r>
        <w:t xml:space="preserve">C):</w:t>
      </w:r>
    </w:p>
    <w:p>
      <w:pPr>
        <w:pStyle w:val="BodyText"/>
      </w:pPr>
      <m:oMathPara>
        <m:oMathParaPr>
          <m:jc m:val="center"/>
        </m:oMathParaPr>
        <m:oMath>
          <m:m>
            <m:mPr>
              <m:baseJc m:val="center"/>
              <m:plcHide m:val="on"/>
              <m:mcs>
                <m:mc>
                  <m:mcPr>
                    <m:mcJc m:val="right"/>
                    <m:count m:val="1"/>
                  </m:mcPr>
                </m:mc>
              </m:mcs>
            </m:mPr>
            <m:mr>
              <m:e>
                <m:r>
                  <m:t>P</m:t>
                </m:r>
                <m:r>
                  <m:rPr>
                    <m:sty m:val="p"/>
                  </m:rPr>
                  <m:t>(</m:t>
                </m:r>
                <m:r>
                  <m:t>R</m:t>
                </m:r>
                <m:r>
                  <m:rPr>
                    <m:sty m:val="p"/>
                  </m:rPr>
                  <m:t>=</m:t>
                </m:r>
                <m:r>
                  <m:t>r</m:t>
                </m:r>
                <m:r>
                  <m:rPr>
                    <m:sty m:val="p"/>
                  </m:rPr>
                  <m:t>,</m:t>
                </m:r>
                <m:r>
                  <m:t>C</m:t>
                </m:r>
                <m:r>
                  <m:rPr>
                    <m:sty m:val="p"/>
                  </m:rPr>
                  <m:t>=</m:t>
                </m:r>
                <m:r>
                  <m:t>c</m:t>
                </m:r>
                <m:r>
                  <m:t> </m:t>
                </m:r>
                <m:r>
                  <m:rPr>
                    <m:sty m:val="p"/>
                  </m:rPr>
                  <m:t>|</m:t>
                </m:r>
                <m:r>
                  <m:t> </m:t>
                </m:r>
                <m:r>
                  <m:t>S</m:t>
                </m:r>
                <m:r>
                  <m:rPr>
                    <m:sty m:val="p"/>
                  </m:rPr>
                  <m:t>=</m:t>
                </m:r>
                <m:r>
                  <m:t>s</m:t>
                </m:r>
                <m:r>
                  <m:rPr>
                    <m:sty m:val="p"/>
                  </m:rPr>
                  <m:t>)</m:t>
                </m:r>
                <m:r>
                  <m:rPr>
                    <m:sty m:val="p"/>
                  </m:rPr>
                  <m:t>=</m:t>
                </m:r>
                <m:r>
                  <m:t>P</m:t>
                </m:r>
                <m:r>
                  <m:rPr>
                    <m:sty m:val="p"/>
                  </m:rPr>
                  <m:t>(</m:t>
                </m:r>
                <m:r>
                  <m:t>R</m:t>
                </m:r>
                <m:r>
                  <m:rPr>
                    <m:sty m:val="p"/>
                  </m:rPr>
                  <m:t>=</m:t>
                </m:r>
                <m:r>
                  <m:t>r</m:t>
                </m:r>
                <m:r>
                  <m:t> </m:t>
                </m:r>
                <m:r>
                  <m:rPr>
                    <m:sty m:val="p"/>
                  </m:rPr>
                  <m:t>|</m:t>
                </m:r>
                <m:r>
                  <m:t> </m:t>
                </m:r>
                <m:r>
                  <m:t>S</m:t>
                </m:r>
                <m:r>
                  <m:rPr>
                    <m:sty m:val="p"/>
                  </m:rPr>
                  <m:t>=</m:t>
                </m:r>
                <m:r>
                  <m:t>s</m:t>
                </m:r>
                <m:r>
                  <m:rPr>
                    <m:sty m:val="p"/>
                  </m:rPr>
                  <m:t>)</m:t>
                </m:r>
                <m:r>
                  <m:t> </m:t>
                </m:r>
                <m:r>
                  <m:t>P</m:t>
                </m:r>
                <m:r>
                  <m:rPr>
                    <m:sty m:val="p"/>
                  </m:rPr>
                  <m:t>(</m:t>
                </m:r>
                <m:r>
                  <m:t>C</m:t>
                </m:r>
                <m:r>
                  <m:rPr>
                    <m:sty m:val="p"/>
                  </m:rPr>
                  <m:t>=</m:t>
                </m:r>
                <m:r>
                  <m:t>c</m:t>
                </m:r>
                <m:r>
                  <m:t> </m:t>
                </m:r>
                <m:r>
                  <m:rPr>
                    <m:sty m:val="p"/>
                  </m:rPr>
                  <m:t>|</m:t>
                </m:r>
                <m:r>
                  <m:t> </m:t>
                </m:r>
                <m:r>
                  <m:t>S</m:t>
                </m:r>
                <m:r>
                  <m:rPr>
                    <m:sty m:val="p"/>
                  </m:rPr>
                  <m:t>=</m:t>
                </m:r>
                <m:r>
                  <m:t>s</m:t>
                </m:r>
                <m:r>
                  <m:rPr>
                    <m:sty m:val="p"/>
                  </m:rPr>
                  <m:t>,</m:t>
                </m:r>
                <m:r>
                  <m:t>R</m:t>
                </m:r>
                <m:r>
                  <m:rPr>
                    <m:sty m:val="p"/>
                  </m:rPr>
                  <m:t>=</m:t>
                </m:r>
                <m:r>
                  <m:t>r</m:t>
                </m:r>
                <m:r>
                  <m:rPr>
                    <m:sty m:val="p"/>
                  </m:rPr>
                  <m:t>)</m:t>
                </m:r>
              </m:e>
            </m:mr>
          </m:m>
        </m:oMath>
      </m:oMathPara>
    </w:p>
    <w:p>
      <w:pPr>
        <w:pStyle w:val="FirstParagraph"/>
      </w:pPr>
      <w:r>
        <w:t xml:space="preserve">Note that because this distribution is conditional on the stimulus</w:t>
      </w:r>
      <w:r>
        <w:t xml:space="preserve"> </w:t>
      </w:r>
      <m:oMath>
        <m:r>
          <m:t>S</m:t>
        </m:r>
      </m:oMath>
      <w:r>
        <w:t xml:space="preserve">, the</w:t>
      </w:r>
      <w:r>
        <w:t xml:space="preserve"> </w:t>
      </w:r>
      <m:oMath>
        <m:r>
          <m:rPr>
            <m:nor/>
            <m:sty m:val="p"/>
          </m:rPr>
          <m:t>meta-</m:t>
        </m:r>
        <m:sSup>
          <m:e>
            <m:r>
              <m:t>d</m:t>
            </m:r>
          </m:e>
          <m:sup>
            <m:r>
              <m:rPr>
                <m:sty m:val="p"/>
              </m:rPr>
              <m:t>′</m:t>
            </m:r>
          </m:sup>
        </m:sSup>
      </m:oMath>
      <w:r>
        <w:t xml:space="preserve"> </w:t>
      </w:r>
      <w:r>
        <w:t xml:space="preserve">model does not model the base rate</w:t>
      </w:r>
      <w:r>
        <w:t xml:space="preserve"> </w:t>
      </w:r>
      <m:oMath>
        <m:r>
          <m:t>P</m:t>
        </m:r>
        <m:r>
          <m:rPr>
            <m:sty m:val="p"/>
          </m:rPr>
          <m:t>(</m:t>
        </m:r>
        <m:r>
          <m:t>S</m:t>
        </m:r>
        <m:r>
          <m:rPr>
            <m:sty m:val="p"/>
          </m:rPr>
          <m:t>=</m:t>
        </m:r>
        <m:r>
          <m:t>s</m:t>
        </m:r>
        <m:r>
          <m:rPr>
            <m:sty m:val="p"/>
          </m:rPr>
          <m:t>)</m:t>
        </m:r>
      </m:oMath>
      <w:r>
        <w:t xml:space="preserve">. We consider two specifications of the model likelihood. When trial-level effects are of interest, one can fit the</w:t>
      </w:r>
      <w:r>
        <w:t xml:space="preserve"> </w:t>
      </w:r>
      <m:oMath>
        <m:r>
          <m:rPr>
            <m:nor/>
            <m:sty m:val="p"/>
          </m:rPr>
          <m:t>meta-</m:t>
        </m:r>
        <m:sSup>
          <m:e>
            <m:r>
              <m:t>d</m:t>
            </m:r>
          </m:e>
          <m:sup>
            <m:r>
              <m:rPr>
                <m:sty m:val="p"/>
              </m:rPr>
              <m:t>′</m:t>
            </m:r>
          </m:sup>
        </m:sSup>
      </m:oMath>
      <w:r>
        <w:t xml:space="preserve"> </w:t>
      </w:r>
      <w:r>
        <w:t xml:space="preserve">model to individual trials using a categorical distribution. Where</w:t>
      </w:r>
      <w:r>
        <w:t xml:space="preserve"> </w:t>
      </w:r>
      <m:oMath>
        <m:r>
          <m:rPr>
            <m:scr m:val="script"/>
            <m:sty m:val="p"/>
          </m:rPr>
          <m:t>L</m:t>
        </m:r>
      </m:oMath>
      <w:r>
        <w:t xml:space="preserve"> </w:t>
      </w:r>
      <w:r>
        <w:t xml:space="preserve">is the likelihood,</w:t>
      </w:r>
      <w:r>
        <w:t xml:space="preserve"> </w:t>
      </w:r>
      <m:oMath>
        <m:r>
          <m:rPr>
            <m:sty m:val="bi"/>
          </m:rPr>
          <m:t>θ</m:t>
        </m:r>
        <m:r>
          <m:rPr>
            <m:sty m:val="p"/>
          </m:rPr>
          <m:t>=</m:t>
        </m:r>
        <m:r>
          <m:rPr>
            <m:sty m:val="p"/>
          </m:rPr>
          <m:t>{</m:t>
        </m:r>
        <m:sSup>
          <m:e>
            <m:r>
              <m:t>d</m:t>
            </m:r>
          </m:e>
          <m:sup>
            <m:r>
              <m:rPr>
                <m:sty m:val="p"/>
              </m:rPr>
              <m:t>′</m:t>
            </m:r>
          </m:sup>
        </m:sSup>
        <m:r>
          <m:rPr>
            <m:sty m:val="p"/>
          </m:rPr>
          <m:t>,</m:t>
        </m:r>
        <m:r>
          <m:t>c</m:t>
        </m:r>
        <m:r>
          <m:rPr>
            <m:sty m:val="p"/>
          </m:rPr>
          <m:t>,</m:t>
        </m:r>
        <m:r>
          <m:rPr>
            <m:nor/>
            <m:sty m:val="p"/>
          </m:rPr>
          <m:t>meta-</m:t>
        </m:r>
        <m:sSup>
          <m:e>
            <m:r>
              <m:t>d</m:t>
            </m:r>
          </m:e>
          <m:sup>
            <m:r>
              <m:rPr>
                <m:sty m:val="p"/>
              </m:rPr>
              <m:t>′</m:t>
            </m:r>
          </m:sup>
        </m:sSup>
        <m:r>
          <m:rPr>
            <m:sty m:val="p"/>
          </m:rPr>
          <m:t>,</m:t>
        </m:r>
        <m:r>
          <m:rPr>
            <m:nor/>
            <m:sty m:val="p"/>
          </m:rPr>
          <m:t>meta-</m:t>
        </m:r>
        <m:r>
          <m:t>c</m:t>
        </m:r>
        <m:r>
          <m:rPr>
            <m:sty m:val="p"/>
          </m:rPr>
          <m:t>,</m:t>
        </m:r>
        <m:r>
          <m:rPr>
            <m:nor/>
            <m:sty m:val="b"/>
          </m:rPr>
          <m:t>meta-</m:t>
        </m:r>
        <m:sSubSup>
          <m:e>
            <m:r>
              <m:rPr>
                <m:sty m:val="bi"/>
              </m:rPr>
              <m:t>c</m:t>
            </m:r>
          </m:e>
          <m:sub>
            <m:r>
              <m:rPr>
                <m:sty m:val="b"/>
              </m:rPr>
              <m:t>2</m:t>
            </m:r>
          </m:sub>
          <m:sup>
            <m:r>
              <m:rPr>
                <m:sty m:val="b"/>
              </m:rPr>
              <m:t>0</m:t>
            </m:r>
          </m:sup>
        </m:sSubSup>
        <m:r>
          <m:rPr>
            <m:sty m:val="p"/>
          </m:rPr>
          <m:t>,</m:t>
        </m:r>
        <m:r>
          <m:rPr>
            <m:nor/>
            <m:sty m:val="b"/>
          </m:rPr>
          <m:t>meta-</m:t>
        </m:r>
        <m:sSubSup>
          <m:e>
            <m:r>
              <m:rPr>
                <m:sty m:val="bi"/>
              </m:rPr>
              <m:t>c</m:t>
            </m:r>
          </m:e>
          <m:sub>
            <m:r>
              <m:rPr>
                <m:sty m:val="b"/>
              </m:rPr>
              <m:t>2</m:t>
            </m:r>
          </m:sub>
          <m:sup>
            <m:r>
              <m:rPr>
                <m:sty m:val="b"/>
              </m:rPr>
              <m:t>1</m:t>
            </m:r>
          </m:sup>
        </m:sSubSup>
        <m:r>
          <m:rPr>
            <m:sty m:val="p"/>
          </m:rPr>
          <m:t>}</m:t>
        </m:r>
      </m:oMath>
      <w:r>
        <w:t xml:space="preserve">, and</w:t>
      </w:r>
      <w:r>
        <w:t xml:space="preserve"> </w:t>
      </w:r>
      <m:oMath>
        <m:r>
          <m:rPr>
            <m:sty m:val="bi"/>
          </m:rPr>
          <m:t>s</m:t>
        </m:r>
      </m:oMath>
      <w:r>
        <w:t xml:space="preserve">,</w:t>
      </w:r>
      <w:r>
        <w:t xml:space="preserve"> </w:t>
      </w:r>
      <m:oMath>
        <m:r>
          <m:rPr>
            <m:sty m:val="bi"/>
          </m:rPr>
          <m:t>r</m:t>
        </m:r>
      </m:oMath>
      <w:r>
        <w:t xml:space="preserve">, and</w:t>
      </w:r>
      <w:r>
        <w:t xml:space="preserve"> </w:t>
      </w:r>
      <m:oMath>
        <m:r>
          <m:rPr>
            <m:sty m:val="bi"/>
          </m:rPr>
          <m:t>c</m:t>
        </m:r>
      </m:oMath>
      <w:r>
        <w:t xml:space="preserve"> </w:t>
      </w:r>
      <w:r>
        <w:t xml:space="preserve">vectors of observed stimuli, Type I responses, and Type II responses:</w:t>
      </w:r>
    </w:p>
    <w:p>
      <w:pPr>
        <w:pStyle w:val="BodyText"/>
      </w:pPr>
      <m:oMathPara>
        <m:oMathParaPr>
          <m:jc m:val="center"/>
        </m:oMathParaPr>
        <m:oMath>
          <m:eqArr>
            <m:e>
              <m:r>
                <m:rPr>
                  <m:scr m:val="script"/>
                  <m:sty m:val="p"/>
                </m:rPr>
                <m:t>L</m:t>
              </m:r>
              <m:r>
                <m:rPr>
                  <m:sty m:val="p"/>
                </m:rPr>
                <m:t>(</m:t>
              </m:r>
              <m:r>
                <m:rPr>
                  <m:sty m:val="bi"/>
                </m:rPr>
                <m:t>θ</m:t>
              </m:r>
              <m:r>
                <m:t> </m:t>
              </m:r>
              <m:r>
                <m:rPr>
                  <m:sty m:val="p"/>
                </m:rPr>
                <m:t>|</m:t>
              </m:r>
              <m:r>
                <m:t> </m:t>
              </m:r>
              <m:r>
                <m:t>S</m:t>
              </m:r>
              <m:r>
                <m:rPr>
                  <m:sty m:val="p"/>
                </m:rPr>
                <m:t>=</m:t>
              </m:r>
              <m:r>
                <m:rPr>
                  <m:sty m:val="bi"/>
                </m:rPr>
                <m:t>s</m:t>
              </m:r>
              <m:r>
                <m:rPr>
                  <m:sty m:val="p"/>
                </m:rPr>
                <m:t>,</m:t>
              </m:r>
              <m:r>
                <m:t>R</m:t>
              </m:r>
              <m:r>
                <m:rPr>
                  <m:sty m:val="p"/>
                </m:rPr>
                <m:t>=</m:t>
              </m:r>
              <m:r>
                <m:rPr>
                  <m:sty m:val="bi"/>
                </m:rPr>
                <m:t>r</m:t>
              </m:r>
              <m:r>
                <m:rPr>
                  <m:sty m:val="p"/>
                </m:rPr>
                <m:t>,</m:t>
              </m:r>
              <m:r>
                <m:t>C</m:t>
              </m:r>
              <m:r>
                <m:rPr>
                  <m:sty m:val="p"/>
                </m:rPr>
                <m:t>=</m:t>
              </m:r>
              <m:r>
                <m:rPr>
                  <m:sty m:val="bi"/>
                </m:rPr>
                <m:t>c</m:t>
              </m:r>
              <m:r>
                <m:rPr>
                  <m:sty m:val="p"/>
                </m:rPr>
                <m:t>)</m:t>
              </m:r>
              <m:r>
                <m:t>&amp;</m:t>
              </m:r>
              <m:r>
                <m:rPr>
                  <m:sty m:val="p"/>
                </m:rPr>
                <m:t>=</m:t>
              </m:r>
              <m:nary>
                <m:naryPr>
                  <m:chr m:val="∏"/>
                  <m:limLoc m:val="undOvr"/>
                  <m:subHide m:val="off"/>
                  <m:supHide m:val="off"/>
                </m:naryPr>
                <m:sub>
                  <m:r>
                    <m:t>n</m:t>
                  </m:r>
                  <m:r>
                    <m:rPr>
                      <m:sty m:val="p"/>
                    </m:rPr>
                    <m:t>=</m:t>
                  </m:r>
                  <m:r>
                    <m:t>1</m:t>
                  </m:r>
                </m:sub>
                <m:sup>
                  <m:r>
                    <m:t>N</m:t>
                  </m:r>
                </m:sup>
                <m:e>
                  <m:r>
                    <m:t>P</m:t>
                  </m:r>
                </m:e>
              </m:nary>
              <m:r>
                <m:rPr>
                  <m:sty m:val="p"/>
                </m:rPr>
                <m:t>(</m:t>
              </m:r>
              <m:r>
                <m:t>R</m:t>
              </m:r>
              <m:r>
                <m:rPr>
                  <m:sty m:val="p"/>
                </m:rPr>
                <m:t>=</m:t>
              </m:r>
              <m:sSub>
                <m:e>
                  <m:r>
                    <m:t>r</m:t>
                  </m:r>
                </m:e>
                <m:sub>
                  <m:r>
                    <m:t>n</m:t>
                  </m:r>
                </m:sub>
              </m:sSub>
              <m:r>
                <m:rPr>
                  <m:sty m:val="p"/>
                </m:rPr>
                <m:t>,</m:t>
              </m:r>
              <m:r>
                <m:t>C</m:t>
              </m:r>
              <m:r>
                <m:rPr>
                  <m:sty m:val="p"/>
                </m:rPr>
                <m:t>=</m:t>
              </m:r>
              <m:sSub>
                <m:e>
                  <m:r>
                    <m:t>c</m:t>
                  </m:r>
                </m:e>
                <m:sub>
                  <m:r>
                    <m:t>n</m:t>
                  </m:r>
                </m:sub>
              </m:sSub>
              <m:r>
                <m:t> </m:t>
              </m:r>
              <m:r>
                <m:rPr>
                  <m:sty m:val="p"/>
                </m:rPr>
                <m:t>|</m:t>
              </m:r>
              <m:r>
                <m:t> </m:t>
              </m:r>
              <m:r>
                <m:t>S</m:t>
              </m:r>
              <m:r>
                <m:rPr>
                  <m:sty m:val="p"/>
                </m:rPr>
                <m:t>=</m:t>
              </m:r>
              <m:sSub>
                <m:e>
                  <m:r>
                    <m:t>s</m:t>
                  </m:r>
                </m:e>
                <m:sub>
                  <m:r>
                    <m:t>n</m:t>
                  </m:r>
                </m:sub>
              </m:sSub>
              <m:r>
                <m:rPr>
                  <m:sty m:val="p"/>
                </m:rPr>
                <m:t>)</m:t>
              </m:r>
            </m:e>
          </m:eqArr>
        </m:oMath>
      </m:oMathPara>
    </w:p>
    <w:p>
      <w:pPr>
        <w:pStyle w:val="FirstParagraph"/>
      </w:pPr>
      <w:r>
        <w:t xml:space="preserve">However, in this formulation the number of times each conditional probability is computed is proportional to the number of trials with the same stimulus, Type I response, and Type II response. As noted by</w:t>
      </w:r>
      <w:r>
        <w:t xml:space="preserve"> </w:t>
      </w:r>
      <w:r>
        <w:t xml:space="preserve">Maniscalco and Lau (</w:t>
      </w:r>
      <w:hyperlink w:anchor="ref-maniscalco2014">
        <w:r>
          <w:rPr>
            <w:rStyle w:val="Hyperlink"/>
          </w:rPr>
          <w:t xml:space="preserve">2014</w:t>
        </w:r>
      </w:hyperlink>
      <w:r>
        <w:t xml:space="preserve">)</w:t>
      </w:r>
      <w:r>
        <w:t xml:space="preserve">, it is often more efficient to use a multinomial likelihood over the aggregated data instead. Where</w:t>
      </w:r>
      <w:r>
        <w:t xml:space="preserve"> </w:t>
      </w:r>
      <m:oMath>
        <m:sSub>
          <m:e>
            <m:r>
              <m:t>N</m:t>
            </m:r>
          </m:e>
          <m:sub>
            <m:r>
              <m:t>s</m:t>
            </m:r>
            <m:r>
              <m:rPr>
                <m:sty m:val="p"/>
              </m:rPr>
              <m:t>,</m:t>
            </m:r>
            <m:r>
              <m:t>r</m:t>
            </m:r>
            <m:r>
              <m:rPr>
                <m:sty m:val="p"/>
              </m:rPr>
              <m:t>,</m:t>
            </m:r>
            <m:r>
              <m:t>c</m:t>
            </m:r>
          </m:sub>
        </m:sSub>
      </m:oMath>
      <w:r>
        <w:t xml:space="preserve"> </w:t>
      </w:r>
      <w:r>
        <w:t xml:space="preserve">is the number of trials with stimulus</w:t>
      </w:r>
      <w:r>
        <w:t xml:space="preserve"> </w:t>
      </w:r>
      <m:oMath>
        <m:r>
          <m:t>S</m:t>
        </m:r>
        <m:r>
          <m:rPr>
            <m:sty m:val="p"/>
          </m:rPr>
          <m:t>=</m:t>
        </m:r>
        <m:r>
          <m:t>s</m:t>
        </m:r>
      </m:oMath>
      <w:r>
        <w:t xml:space="preserve">, Type I response</w:t>
      </w:r>
      <w:r>
        <w:t xml:space="preserve"> </w:t>
      </w:r>
      <m:oMath>
        <m:r>
          <m:t>R</m:t>
        </m:r>
        <m:r>
          <m:rPr>
            <m:sty m:val="p"/>
          </m:rPr>
          <m:t>=</m:t>
        </m:r>
        <m:r>
          <m:t>r</m:t>
        </m:r>
      </m:oMath>
      <w:r>
        <w:t xml:space="preserve">, and Type II response</w:t>
      </w:r>
      <w:r>
        <w:t xml:space="preserve"> </w:t>
      </w:r>
      <m:oMath>
        <m:r>
          <m:t>C</m:t>
        </m:r>
        <m:r>
          <m:rPr>
            <m:sty m:val="p"/>
          </m:rPr>
          <m:t>=</m:t>
        </m:r>
        <m:r>
          <m:t>c</m:t>
        </m:r>
      </m:oMath>
      <w:r>
        <w:t xml:space="preserve">:</w:t>
      </w:r>
    </w:p>
    <w:p>
      <w:pPr>
        <w:pStyle w:val="BodyText"/>
      </w:pPr>
      <m:oMathPara>
        <m:oMathParaPr>
          <m:jc m:val="center"/>
        </m:oMathParaPr>
        <m:oMath>
          <m:eqArr>
            <m:e>
              <m:r>
                <m:rPr>
                  <m:scr m:val="script"/>
                  <m:sty m:val="p"/>
                </m:rPr>
                <m:t>L</m:t>
              </m:r>
              <m:r>
                <m:rPr>
                  <m:sty m:val="p"/>
                </m:rPr>
                <m:t>(</m:t>
              </m:r>
              <m:r>
                <m:rPr>
                  <m:sty m:val="bi"/>
                </m:rPr>
                <m:t>θ</m:t>
              </m:r>
              <m:r>
                <m:t> </m:t>
              </m:r>
              <m:r>
                <m:rPr>
                  <m:sty m:val="p"/>
                </m:rPr>
                <m:t>|</m:t>
              </m:r>
              <m:r>
                <m:t> </m:t>
              </m:r>
              <m:r>
                <m:rPr>
                  <m:sty m:val="bi"/>
                </m:rPr>
                <m:t>N</m:t>
              </m:r>
              <m:r>
                <m:rPr>
                  <m:sty m:val="p"/>
                </m:rPr>
                <m:t>)</m:t>
              </m:r>
              <m:r>
                <m:t>&amp;</m:t>
              </m:r>
              <m:r>
                <m:rPr>
                  <m:sty m:val="p"/>
                </m:rPr>
                <m:t>∝</m:t>
              </m:r>
              <m:nary>
                <m:naryPr>
                  <m:chr m:val="∏"/>
                  <m:limLoc m:val="undOvr"/>
                  <m:subHide m:val="off"/>
                  <m:supHide m:val="on"/>
                </m:naryPr>
                <m:sub>
                  <m:r>
                    <m:t>s</m:t>
                  </m:r>
                  <m:r>
                    <m:rPr>
                      <m:sty m:val="p"/>
                    </m:rPr>
                    <m:t>,</m:t>
                  </m:r>
                  <m:r>
                    <m:t>r</m:t>
                  </m:r>
                  <m:r>
                    <m:rPr>
                      <m:sty m:val="p"/>
                    </m:rPr>
                    <m:t>,</m:t>
                  </m:r>
                  <m:r>
                    <m:t>c</m:t>
                  </m:r>
                </m:sub>
                <m:sup>
                  <m:r>
                    <m:t>​</m:t>
                  </m:r>
                </m:sup>
                <m:e>
                  <m:r>
                    <m:t>P</m:t>
                  </m:r>
                </m:e>
              </m:nary>
              <m:r>
                <m:rPr>
                  <m:sty m:val="p"/>
                </m:rPr>
                <m:t>(</m:t>
              </m:r>
              <m:r>
                <m:t>R</m:t>
              </m:r>
              <m:r>
                <m:rPr>
                  <m:sty m:val="p"/>
                </m:rPr>
                <m:t>=</m:t>
              </m:r>
              <m:r>
                <m:t>r</m:t>
              </m:r>
              <m:r>
                <m:rPr>
                  <m:sty m:val="p"/>
                </m:rPr>
                <m:t>,</m:t>
              </m:r>
              <m:r>
                <m:t>C</m:t>
              </m:r>
              <m:r>
                <m:rPr>
                  <m:sty m:val="p"/>
                </m:rPr>
                <m:t>=</m:t>
              </m:r>
              <m:r>
                <m:t>c</m:t>
              </m:r>
              <m:r>
                <m:t> </m:t>
              </m:r>
              <m:r>
                <m:rPr>
                  <m:sty m:val="p"/>
                </m:rPr>
                <m:t>|</m:t>
              </m:r>
              <m:r>
                <m:t> </m:t>
              </m:r>
              <m:r>
                <m:t>S</m:t>
              </m:r>
              <m:r>
                <m:rPr>
                  <m:sty m:val="p"/>
                </m:rPr>
                <m:t>=</m:t>
              </m:r>
              <m:r>
                <m:t>s</m:t>
              </m:r>
              <m:sSup>
                <m:e>
                  <m:r>
                    <m:rPr>
                      <m:sty m:val="p"/>
                    </m:rPr>
                    <m:t>)</m:t>
                  </m:r>
                </m:e>
                <m:sup>
                  <m:sSub>
                    <m:e>
                      <m:r>
                        <m:t>N</m:t>
                      </m:r>
                    </m:e>
                    <m:sub>
                      <m:r>
                        <m:t>s</m:t>
                      </m:r>
                      <m:r>
                        <m:rPr>
                          <m:sty m:val="p"/>
                        </m:rPr>
                        <m:t>,</m:t>
                      </m:r>
                      <m:r>
                        <m:t>r</m:t>
                      </m:r>
                      <m:r>
                        <m:rPr>
                          <m:sty m:val="p"/>
                        </m:rPr>
                        <m:t>,</m:t>
                      </m:r>
                      <m:r>
                        <m:t>c</m:t>
                      </m:r>
                    </m:sub>
                  </m:sSub>
                </m:sup>
              </m:sSup>
            </m:e>
          </m:eqArr>
        </m:oMath>
      </m:oMathPara>
    </w:p>
    <w:p>
      <w:pPr>
        <w:pStyle w:val="FirstParagraph"/>
      </w:pPr>
      <w:r>
        <w:t xml:space="preserve">For numerical stability, the</w:t>
      </w:r>
      <w:r>
        <w:t xml:space="preserve"> </w:t>
      </w:r>
      <w:r>
        <w:rPr>
          <w:rStyle w:val="VerbatimChar"/>
        </w:rPr>
        <w:t xml:space="preserve">hmetad</w:t>
      </w:r>
      <w:r>
        <w:t xml:space="preserve"> </w:t>
      </w:r>
      <w:r>
        <w:t xml:space="preserve">package evaluates the model likelihood on the logarithmic scale. For a detailed derivation of the log likelihood used in the model fitting code, see</w:t>
      </w:r>
      <w:r>
        <w:t xml:space="preserve"> </w:t>
      </w:r>
      <w:hyperlink w:anchor="apx-ll">
        <w:r>
          <w:rPr>
            <w:rStyle w:val="Hyperlink"/>
          </w:rPr>
          <w:t xml:space="preserve">Appendix</w:t>
        </w:r>
      </w:hyperlink>
      <w:r>
        <w:t xml:space="preserve">.</w:t>
      </w:r>
    </w:p>
    <w:bookmarkEnd w:id="54"/>
    <w:bookmarkEnd w:id="55"/>
    <w:bookmarkStart w:id="60" w:name="X134bc60c847c4dd3083e0cf0f290bb3d7a7785f"/>
    <w:p>
      <w:pPr>
        <w:pStyle w:val="Heading2"/>
      </w:pPr>
      <w:r>
        <w:t xml:space="preserve">Fixing the Type I criterion for Type II responses</w:t>
      </w:r>
    </w:p>
    <w:p>
      <w:pPr>
        <w:pStyle w:val="FirstParagraph"/>
      </w:pPr>
      <w:r>
        <w:t xml:space="preserve">In principle, one could treat</w:t>
      </w:r>
      <w:r>
        <w:t xml:space="preserve"> </w:t>
      </w:r>
      <m:oMath>
        <m:r>
          <m:rPr>
            <m:nor/>
            <m:sty m:val="p"/>
          </m:rPr>
          <m:t>meta-</m:t>
        </m:r>
        <m:r>
          <m:t>c</m:t>
        </m:r>
      </m:oMath>
      <w:r>
        <w:t xml:space="preserve"> </w:t>
      </w:r>
      <w:r>
        <w:t xml:space="preserve">as a free parameter reflecting the Type I criterion of the generative model for Type II responses. But to ease comparisons between</w:t>
      </w:r>
      <w:r>
        <w:t xml:space="preserve"> </w:t>
      </w:r>
      <m:oMath>
        <m:r>
          <m:rPr>
            <m:nor/>
            <m:sty m:val="p"/>
          </m:rPr>
          <m:t>meta-</m:t>
        </m:r>
        <m:sSup>
          <m:e>
            <m:r>
              <m:t>d</m:t>
            </m:r>
          </m:e>
          <m:sup>
            <m:r>
              <m:rPr>
                <m:sty m:val="p"/>
              </m:rPr>
              <m:t>′</m:t>
            </m:r>
          </m:sup>
        </m:sSup>
      </m:oMath>
      <w:r>
        <w:t xml:space="preserve"> </w:t>
      </w:r>
      <w:r>
        <w:t xml:space="preserve">and</w:t>
      </w:r>
      <w:r>
        <w:t xml:space="preserve"> </w:t>
      </w:r>
      <m:oMath>
        <m:sSup>
          <m:e>
            <m:r>
              <m:t>d</m:t>
            </m:r>
          </m:e>
          <m:sup>
            <m:r>
              <m:rPr>
                <m:sty m:val="p"/>
              </m:rPr>
              <m:t>′</m:t>
            </m:r>
          </m:sup>
        </m:sSup>
      </m:oMath>
      <w:r>
        <w:t xml:space="preserve">, in addition to comparisons across participants or experiments, it is instead customary to fix</w:t>
      </w:r>
      <w:r>
        <w:t xml:space="preserve"> </w:t>
      </w:r>
      <m:oMath>
        <m:r>
          <m:rPr>
            <m:nor/>
            <m:sty m:val="p"/>
          </m:rPr>
          <m:t>meta-</m:t>
        </m:r>
        <m:r>
          <m:t>c</m:t>
        </m:r>
      </m:oMath>
      <w:r>
        <w:t xml:space="preserve"> </w:t>
      </w:r>
      <w:r>
        <w:t xml:space="preserve">to be similar in some respect to the Type I criterion (</w:t>
      </w:r>
      <m:oMath>
        <m:r>
          <m:t>c</m:t>
        </m:r>
      </m:oMath>
      <w:r>
        <w:t xml:space="preserve">).</w:t>
      </w:r>
      <w:r>
        <w:t xml:space="preserve"> </w:t>
      </w:r>
      <w:r>
        <w:t xml:space="preserve">Maniscalco and Lau (</w:t>
      </w:r>
      <w:hyperlink w:anchor="ref-maniscalco2014">
        <w:r>
          <w:rPr>
            <w:rStyle w:val="Hyperlink"/>
          </w:rPr>
          <w:t xml:space="preserve">2014</w:t>
        </w:r>
      </w:hyperlink>
      <w:r>
        <w:t xml:space="preserve">)</w:t>
      </w:r>
      <w:r>
        <w:t xml:space="preserve"> </w:t>
      </w:r>
      <w:r>
        <w:t xml:space="preserve">advocate for two options in particular (</w:t>
      </w:r>
      <w:hyperlink w:anchor="fig-metac">
        <w:r>
          <w:rPr>
            <w:rStyle w:val="Hyperlink"/>
          </w:rPr>
          <w:t xml:space="preserve">Figure 3</w:t>
        </w:r>
      </w:hyperlink>
      <w:r>
        <w:t xml:space="preserve">). In the</w:t>
      </w:r>
      <w:r>
        <w:t xml:space="preserve"> </w:t>
      </w:r>
      <w:r>
        <w:rPr>
          <w:smallCaps/>
        </w:rPr>
        <w:t xml:space="preserve">absolute</w:t>
      </w:r>
      <w:r>
        <w:t xml:space="preserve"> </w:t>
      </w:r>
      <w:r>
        <w:t xml:space="preserve">model,</w:t>
      </w:r>
      <w:r>
        <w:t xml:space="preserve"> </w:t>
      </w:r>
      <m:oMath>
        <m:r>
          <m:rPr>
            <m:nor/>
            <m:sty m:val="p"/>
          </m:rPr>
          <m:t>meta-</m:t>
        </m:r>
        <m:r>
          <m:t>c</m:t>
        </m:r>
      </m:oMath>
      <w:r>
        <w:t xml:space="preserve"> </w:t>
      </w:r>
      <w:r>
        <w:t xml:space="preserve">is simply fixed to the Type I criterion (i.e.,</w:t>
      </w:r>
      <w:r>
        <w:t xml:space="preserve"> </w:t>
      </w:r>
      <m:oMath>
        <m:r>
          <m:rPr>
            <m:nor/>
            <m:sty m:val="p"/>
          </m:rPr>
          <m:t>meta-</m:t>
        </m:r>
        <m:r>
          <m:t>c</m:t>
        </m:r>
        <m:r>
          <m:rPr>
            <m:sty m:val="p"/>
          </m:rPr>
          <m:t>=</m:t>
        </m:r>
        <m:r>
          <m:t>c</m:t>
        </m:r>
      </m:oMath>
      <w:r>
        <w:t xml:space="preserve">). This is the parameterization used in our earlier Hmeta-d toolbox and is the default in the</w:t>
      </w:r>
      <w:r>
        <w:t xml:space="preserve"> </w:t>
      </w:r>
      <w:r>
        <w:rPr>
          <w:rStyle w:val="VerbatimChar"/>
        </w:rPr>
        <w:t xml:space="preserve">hmetad</w:t>
      </w:r>
      <w:r>
        <w:t xml:space="preserve"> </w:t>
      </w:r>
      <w:r>
        <w:t xml:space="preserve">package</w:t>
      </w:r>
      <w:r>
        <w:t xml:space="preserve"> </w:t>
      </w:r>
      <w:r>
        <w:t xml:space="preserve">(</w:t>
      </w:r>
      <w:hyperlink w:anchor="ref-fleming2017">
        <w:r>
          <w:rPr>
            <w:rStyle w:val="Hyperlink"/>
          </w:rPr>
          <w:t xml:space="preserve">Fleming, 2017</w:t>
        </w:r>
      </w:hyperlink>
      <w:r>
        <w:t xml:space="preserve">)</w:t>
      </w:r>
      <w:r>
        <w:t xml:space="preserve">. In the</w:t>
      </w:r>
      <w:r>
        <w:t xml:space="preserve"> </w:t>
      </w:r>
      <w:r>
        <w:rPr>
          <w:smallCaps/>
        </w:rPr>
        <w:t xml:space="preserve">relative</w:t>
      </w:r>
      <w:r>
        <w:t xml:space="preserve"> </w:t>
      </w:r>
      <w:r>
        <w:t xml:space="preserve">model,</w:t>
      </w:r>
      <w:r>
        <w:t xml:space="preserve"> </w:t>
      </w:r>
      <m:oMath>
        <m:r>
          <m:rPr>
            <m:nor/>
            <m:sty m:val="p"/>
          </m:rPr>
          <m:t>meta-</m:t>
        </m:r>
        <m:r>
          <m:t>c</m:t>
        </m:r>
      </m:oMath>
      <w:r>
        <w:t xml:space="preserve"> </w:t>
      </w:r>
      <w:r>
        <w:t xml:space="preserve">is fixed to be equal to the Type I criterion relative to the sensitivity (i.e.,</w:t>
      </w:r>
      <w:r>
        <w:t xml:space="preserve"> </w:t>
      </w:r>
      <m:oMath>
        <m:f>
          <m:fPr>
            <m:type m:val="bar"/>
          </m:fPr>
          <m:num>
            <m:r>
              <m:rPr>
                <m:nor/>
                <m:sty m:val="p"/>
              </m:rPr>
              <m:t>meta-</m:t>
            </m:r>
            <m:r>
              <m:t>c</m:t>
            </m:r>
          </m:num>
          <m:den>
            <m:r>
              <m:rPr>
                <m:nor/>
                <m:sty m:val="p"/>
              </m:rPr>
              <m:t>meta-</m:t>
            </m:r>
            <m:sSup>
              <m:e>
                <m:r>
                  <m:t>d</m:t>
                </m:r>
              </m:e>
              <m:sup>
                <m:r>
                  <m:rPr>
                    <m:sty m:val="p"/>
                  </m:rPr>
                  <m:t>′</m:t>
                </m:r>
              </m:sup>
            </m:sSup>
          </m:den>
        </m:f>
        <m:r>
          <m:rPr>
            <m:sty m:val="p"/>
          </m:rPr>
          <m:t>=</m:t>
        </m:r>
        <m:f>
          <m:fPr>
            <m:type m:val="bar"/>
          </m:fPr>
          <m:num>
            <m:r>
              <m:t>c</m:t>
            </m:r>
          </m:num>
          <m:den>
            <m:sSup>
              <m:e>
                <m:r>
                  <m:t>d</m:t>
                </m:r>
              </m:e>
              <m:sup>
                <m:r>
                  <m:rPr>
                    <m:sty m:val="p"/>
                  </m:rPr>
                  <m:t>′</m:t>
                </m:r>
              </m:sup>
            </m:sSup>
          </m:den>
        </m:f>
      </m:oMath>
      <w:r>
        <w:t xml:space="preserve">), which can be achieved by setting</w:t>
      </w:r>
      <w:r>
        <w:t xml:space="preserve"> </w:t>
      </w:r>
      <m:oMath>
        <m:r>
          <m:rPr>
            <m:nor/>
            <m:sty m:val="p"/>
          </m:rPr>
          <m:t>meta-</m:t>
        </m:r>
        <m:r>
          <m:t>c</m:t>
        </m:r>
        <m:r>
          <m:rPr>
            <m:sty m:val="p"/>
          </m:rPr>
          <m:t>=</m:t>
        </m:r>
        <m:f>
          <m:fPr>
            <m:type m:val="bar"/>
          </m:fPr>
          <m:num>
            <m:r>
              <m:rPr>
                <m:nor/>
                <m:sty m:val="p"/>
              </m:rPr>
              <m:t>meta-</m:t>
            </m:r>
            <m:sSup>
              <m:e>
                <m:r>
                  <m:t>d</m:t>
                </m:r>
              </m:e>
              <m:sup>
                <m:r>
                  <m:rPr>
                    <m:sty m:val="p"/>
                  </m:rPr>
                  <m:t>′</m:t>
                </m:r>
              </m:sup>
            </m:sSup>
          </m:num>
          <m:den>
            <m:sSup>
              <m:e>
                <m:r>
                  <m:t>d</m:t>
                </m:r>
              </m:e>
              <m:sup>
                <m:r>
                  <m:rPr>
                    <m:sty m:val="p"/>
                  </m:rPr>
                  <m:t>′</m:t>
                </m:r>
              </m:sup>
            </m:sSup>
          </m:den>
        </m:f>
        <m:r>
          <m:t>c</m:t>
        </m:r>
      </m:oMath>
      <w:r>
        <w:t xml:space="preserve">. This is the parameterization used by</w:t>
      </w:r>
      <w:r>
        <w:t xml:space="preserve"> </w:t>
      </w:r>
      <w:r>
        <w:t xml:space="preserve">Maniscalco and Lau (</w:t>
      </w:r>
      <w:hyperlink w:anchor="ref-maniscalco2014">
        <w:r>
          <w:rPr>
            <w:rStyle w:val="Hyperlink"/>
          </w:rPr>
          <w:t xml:space="preserve">2014</w:t>
        </w:r>
      </w:hyperlink>
      <w:r>
        <w:t xml:space="preserve">)</w:t>
      </w:r>
      <w:r>
        <w:t xml:space="preserve"> </w:t>
      </w:r>
      <w:r>
        <w:t xml:space="preserve">and can be used in the</w:t>
      </w:r>
      <w:r>
        <w:t xml:space="preserve"> </w:t>
      </w:r>
      <w:r>
        <w:rPr>
          <w:rStyle w:val="VerbatimChar"/>
        </w:rPr>
        <w:t xml:space="preserve">hmetad</w:t>
      </w:r>
      <w:r>
        <w:t xml:space="preserve"> </w:t>
      </w:r>
      <w:r>
        <w:t xml:space="preserve">package using the option</w:t>
      </w:r>
      <w:r>
        <w:t xml:space="preserve"> </w:t>
      </w:r>
      <w:r>
        <w:rPr>
          <w:rStyle w:val="VerbatimChar"/>
        </w:rPr>
        <w:t xml:space="preserve">metac_absolute=FALSE</w:t>
      </w:r>
      <w:r>
        <w:t xml:space="preserve">. Critically,</w:t>
      </w:r>
      <w:r>
        <w:t xml:space="preserve"> </w:t>
      </w:r>
      <w:r>
        <w:t xml:space="preserve">Rausch et al. (</w:t>
      </w:r>
      <w:hyperlink w:anchor="ref-rausch2023">
        <w:r>
          <w:rPr>
            <w:rStyle w:val="Hyperlink"/>
          </w:rPr>
          <w:t xml:space="preserve">2026</w:t>
        </w:r>
      </w:hyperlink>
      <w:r>
        <w:t xml:space="preserve">)</w:t>
      </w:r>
      <w:r>
        <w:t xml:space="preserve"> </w:t>
      </w:r>
      <w:r>
        <w:t xml:space="preserve">demonstrated that the choice between these two models is not arbitrary, as fitting data generated from the opposite generative model induces small but significant spurious dependencies of</w:t>
      </w:r>
      <w:r>
        <w:t xml:space="preserve"> </w:t>
      </w:r>
      <m:oMath>
        <m:r>
          <m:rPr>
            <m:nor/>
            <m:sty m:val="p"/>
          </m:rPr>
          <m:t>meta-</m:t>
        </m:r>
        <m:sSup>
          <m:e>
            <m:r>
              <m:t>d</m:t>
            </m:r>
          </m:e>
          <m:sup>
            <m:r>
              <m:rPr>
                <m:sty m:val="p"/>
              </m:rPr>
              <m:t>′</m:t>
            </m:r>
          </m:sup>
        </m:sSup>
      </m:oMath>
      <w:r>
        <w:t xml:space="preserve"> </w:t>
      </w:r>
      <w:r>
        <w:t xml:space="preserve">on other model parameters.</w:t>
      </w:r>
    </w:p>
    <w:bookmarkStart w:id="59" w:name="fig-metac"/>
    <w:p>
      <w:pPr>
        <w:pStyle w:val="FigureTitle"/>
      </w:pPr>
      <w:r>
        <w:t xml:space="preserve">Figure 3</w:t>
      </w:r>
    </w:p>
    <w:p>
      <w:pPr>
        <w:pStyle w:val="Caption"/>
      </w:pPr>
      <w:r>
        <w:t xml:space="preserve">Two options for fixing the Type I criterion for generating Type II responses.</w:t>
      </w:r>
      <w:r>
        <w:t xml:space="preserve"> </w:t>
      </w:r>
      <w:r>
        <w:t xml:space="preserve">Under the</w:t>
      </w:r>
      <w:r>
        <w:t xml:space="preserve"> </w:t>
      </w:r>
      <w:r>
        <w:rPr>
          <w:smallCaps/>
        </w:rPr>
        <w:t xml:space="preserve">absolute</w:t>
      </w:r>
      <w:r>
        <w:t xml:space="preserve"> </w:t>
      </w:r>
      <w:r>
        <w:t xml:space="preserve">model, the Type I criterion is</w:t>
      </w:r>
      <w:r>
        <w:t xml:space="preserve"> </w:t>
      </w:r>
      <w:r>
        <w:t xml:space="preserve">shared between Type I and Type II observers.</w:t>
      </w:r>
      <w:r>
        <w:t xml:space="preserve"> </w:t>
      </w:r>
      <w:r>
        <w:t xml:space="preserve">Under the</w:t>
      </w:r>
      <w:r>
        <w:t xml:space="preserve"> </w:t>
      </w:r>
      <w:r>
        <w:rPr>
          <w:smallCaps/>
        </w:rPr>
        <w:t xml:space="preserve">relative</w:t>
      </w:r>
      <w:r>
        <w:t xml:space="preserve"> </w:t>
      </w:r>
      <w:r>
        <w:t xml:space="preserve">model, the Type I criterion is scaled by the</w:t>
      </w:r>
      <w:r>
        <w:t xml:space="preserve"> </w:t>
      </w:r>
      <m:oMath>
        <m:r>
          <m:t>M</m:t>
        </m:r>
      </m:oMath>
      <w:r>
        <w:t xml:space="preserve">-ratio</w:t>
      </w:r>
      <w:r>
        <w:t xml:space="preserve"> </w:t>
      </w:r>
      <w:r>
        <w:t xml:space="preserve">so that the observers for the Type I and Type II decisions have</w:t>
      </w:r>
      <w:r>
        <w:t xml:space="preserve"> </w:t>
      </w:r>
      <w:r>
        <w:t xml:space="preserve">equal response bias proportional to their sensitivity.</w:t>
      </w:r>
    </w:p>
    <w:p>
      <w:pPr>
        <w:pStyle w:val="FigureWithoutNote"/>
      </w:pPr>
      <w:r>
        <w:drawing>
          <wp:inline>
            <wp:extent cx="5943600" cy="2971800"/>
            <wp:effectExtent b="0" l="0" r="0" t="0"/>
            <wp:docPr descr="" title="" id="57" name="Picture"/>
            <a:graphic>
              <a:graphicData uri="http://schemas.openxmlformats.org/drawingml/2006/picture">
                <pic:pic>
                  <pic:nvPicPr>
                    <pic:cNvPr descr="index_files/figure-docx/fig-metac-1.png" id="58" name="Picture"/>
                    <pic:cNvPicPr>
                      <a:picLocks noChangeArrowheads="1" noChangeAspect="1"/>
                    </pic:cNvPicPr>
                  </pic:nvPicPr>
                  <pic:blipFill>
                    <a:blip r:embed="rId56"/>
                    <a:stretch>
                      <a:fillRect/>
                    </a:stretch>
                  </pic:blipFill>
                  <pic:spPr bwMode="auto">
                    <a:xfrm>
                      <a:off x="0" y="0"/>
                      <a:ext cx="5943600" cy="2971800"/>
                    </a:xfrm>
                    <a:prstGeom prst="rect">
                      <a:avLst/>
                    </a:prstGeom>
                    <a:noFill/>
                    <a:ln w="9525">
                      <a:noFill/>
                      <a:headEnd/>
                      <a:tailEnd/>
                    </a:ln>
                  </pic:spPr>
                </pic:pic>
              </a:graphicData>
            </a:graphic>
          </wp:inline>
        </w:drawing>
      </w:r>
    </w:p>
    <w:bookmarkEnd w:id="59"/>
    <w:bookmarkEnd w:id="60"/>
    <w:bookmarkStart w:id="63" w:name="parameterization-in-the-hmetad-package"/>
    <w:p>
      <w:pPr>
        <w:pStyle w:val="Heading2"/>
      </w:pPr>
      <w:r>
        <w:t xml:space="preserve">Parameterization in the</w:t>
      </w:r>
      <w:r>
        <w:t xml:space="preserve"> </w:t>
      </w:r>
      <w:r>
        <w:rPr>
          <w:rStyle w:val="VerbatimChar"/>
        </w:rPr>
        <w:t xml:space="preserve">hmetad</w:t>
      </w:r>
      <w:r>
        <w:t xml:space="preserve"> </w:t>
      </w:r>
      <w:r>
        <w:t xml:space="preserve">package</w:t>
      </w:r>
    </w:p>
    <w:p>
      <w:pPr>
        <w:pStyle w:val="FirstParagraph"/>
      </w:pPr>
      <w:r>
        <w:t xml:space="preserve">As described above, the likelihood of the</w:t>
      </w:r>
      <w:r>
        <w:t xml:space="preserve"> </w:t>
      </w:r>
      <m:oMath>
        <m:r>
          <m:rPr>
            <m:nor/>
            <m:sty m:val="p"/>
          </m:rPr>
          <m:t>meta-</m:t>
        </m:r>
        <m:sSup>
          <m:e>
            <m:r>
              <m:t>d</m:t>
            </m:r>
          </m:e>
          <m:sup>
            <m:r>
              <m:rPr>
                <m:sty m:val="p"/>
              </m:rPr>
              <m:t>′</m:t>
            </m:r>
          </m:sup>
        </m:sSup>
      </m:oMath>
      <w:r>
        <w:t xml:space="preserve"> </w:t>
      </w:r>
      <w:r>
        <w:t xml:space="preserve">model is defined in terms of is parameters,</w:t>
      </w:r>
      <w:r>
        <w:t xml:space="preserve"> </w:t>
      </w:r>
      <m:oMath>
        <m:r>
          <m:rPr>
            <m:sty m:val="bi"/>
          </m:rPr>
          <m:t>θ</m:t>
        </m:r>
        <m:r>
          <m:rPr>
            <m:sty m:val="p"/>
          </m:rPr>
          <m:t>=</m:t>
        </m:r>
        <m:r>
          <m:rPr>
            <m:sty m:val="p"/>
          </m:rPr>
          <m:t>{</m:t>
        </m:r>
        <m:sSup>
          <m:e>
            <m:r>
              <m:t>d</m:t>
            </m:r>
          </m:e>
          <m:sup>
            <m:r>
              <m:rPr>
                <m:sty m:val="p"/>
              </m:rPr>
              <m:t>′</m:t>
            </m:r>
          </m:sup>
        </m:sSup>
        <m:r>
          <m:rPr>
            <m:sty m:val="p"/>
          </m:rPr>
          <m:t>,</m:t>
        </m:r>
        <m:r>
          <m:t>c</m:t>
        </m:r>
        <m:r>
          <m:rPr>
            <m:sty m:val="p"/>
          </m:rPr>
          <m:t>,</m:t>
        </m:r>
        <m:r>
          <m:rPr>
            <m:nor/>
            <m:sty m:val="p"/>
          </m:rPr>
          <m:t>meta-</m:t>
        </m:r>
        <m:sSup>
          <m:e>
            <m:r>
              <m:t>d</m:t>
            </m:r>
          </m:e>
          <m:sup>
            <m:r>
              <m:rPr>
                <m:sty m:val="p"/>
              </m:rPr>
              <m:t>′</m:t>
            </m:r>
          </m:sup>
        </m:sSup>
        <m:r>
          <m:rPr>
            <m:sty m:val="p"/>
          </m:rPr>
          <m:t>,</m:t>
        </m:r>
        <m:r>
          <m:rPr>
            <m:nor/>
            <m:sty m:val="p"/>
          </m:rPr>
          <m:t>meta-</m:t>
        </m:r>
        <m:r>
          <m:t>c</m:t>
        </m:r>
        <m:r>
          <m:rPr>
            <m:sty m:val="p"/>
          </m:rPr>
          <m:t>,</m:t>
        </m:r>
        <m:r>
          <m:rPr>
            <m:nor/>
            <m:sty m:val="b"/>
          </m:rPr>
          <m:t>meta-</m:t>
        </m:r>
        <m:sSubSup>
          <m:e>
            <m:r>
              <m:rPr>
                <m:sty m:val="bi"/>
              </m:rPr>
              <m:t>c</m:t>
            </m:r>
          </m:e>
          <m:sub>
            <m:r>
              <m:rPr>
                <m:sty m:val="b"/>
              </m:rPr>
              <m:t>2</m:t>
            </m:r>
          </m:sub>
          <m:sup>
            <m:r>
              <m:rPr>
                <m:sty m:val="b"/>
              </m:rPr>
              <m:t>0</m:t>
            </m:r>
          </m:sup>
        </m:sSubSup>
        <m:r>
          <m:rPr>
            <m:sty m:val="p"/>
          </m:rPr>
          <m:t>,</m:t>
        </m:r>
        <m:r>
          <m:rPr>
            <m:nor/>
            <m:sty m:val="b"/>
          </m:rPr>
          <m:t>meta-</m:t>
        </m:r>
        <m:sSubSup>
          <m:e>
            <m:r>
              <m:rPr>
                <m:sty m:val="bi"/>
              </m:rPr>
              <m:t>c</m:t>
            </m:r>
          </m:e>
          <m:sub>
            <m:r>
              <m:rPr>
                <m:sty m:val="b"/>
              </m:rPr>
              <m:t>2</m:t>
            </m:r>
          </m:sub>
          <m:sup>
            <m:r>
              <m:rPr>
                <m:sty m:val="b"/>
              </m:rPr>
              <m:t>1</m:t>
            </m:r>
          </m:sup>
        </m:sSubSup>
        <m:r>
          <m:rPr>
            <m:sty m:val="p"/>
          </m:rPr>
          <m:t>}</m:t>
        </m:r>
      </m:oMath>
      <w:r>
        <w:t xml:space="preserve">. To enable efficient model fitting, the</w:t>
      </w:r>
      <w:r>
        <w:t xml:space="preserve"> </w:t>
      </w:r>
      <w:r>
        <w:rPr>
          <w:rStyle w:val="VerbatimChar"/>
        </w:rPr>
        <w:t xml:space="preserve">hmetad</w:t>
      </w:r>
      <w:r>
        <w:t xml:space="preserve"> </w:t>
      </w:r>
      <w:r>
        <w:t xml:space="preserve">package uses an alternative parameterization that derives these parameters from transformed variables.</w:t>
      </w:r>
    </w:p>
    <w:p>
      <w:pPr>
        <w:pStyle w:val="BodyText"/>
      </w:pPr>
      <w:r>
        <w:t xml:space="preserve">First, instead of fitting</w:t>
      </w:r>
      <w:r>
        <w:t xml:space="preserve"> </w:t>
      </w:r>
      <m:oMath>
        <m:r>
          <m:rPr>
            <m:nor/>
            <m:sty m:val="p"/>
          </m:rPr>
          <m:t>meta-</m:t>
        </m:r>
        <m:sSup>
          <m:e>
            <m:r>
              <m:t>d</m:t>
            </m:r>
          </m:e>
          <m:sup>
            <m:r>
              <m:rPr>
                <m:sty m:val="p"/>
              </m:rPr>
              <m:t>′</m:t>
            </m:r>
          </m:sup>
        </m:sSup>
      </m:oMath>
      <w:r>
        <w:t xml:space="preserve"> </w:t>
      </w:r>
      <w:r>
        <w:t xml:space="preserve">directly, the</w:t>
      </w:r>
      <w:r>
        <w:t xml:space="preserve"> </w:t>
      </w:r>
      <w:r>
        <w:rPr>
          <w:rStyle w:val="VerbatimChar"/>
        </w:rPr>
        <w:t xml:space="preserve">hmetad</w:t>
      </w:r>
      <w:r>
        <w:t xml:space="preserve"> </w:t>
      </w:r>
      <w:r>
        <w:t xml:space="preserve">package instead models the</w:t>
      </w:r>
      <w:r>
        <w:t xml:space="preserve"> </w:t>
      </w:r>
      <m:oMath>
        <m:r>
          <m:t>M</m:t>
        </m:r>
      </m:oMath>
      <w:r>
        <w:t xml:space="preserve">-ratio,</w:t>
      </w:r>
      <w:r>
        <w:t xml:space="preserve"> </w:t>
      </w:r>
      <m:oMath>
        <m:r>
          <m:t>M</m:t>
        </m:r>
        <m:r>
          <m:rPr>
            <m:sty m:val="p"/>
          </m:rPr>
          <m:t>=</m:t>
        </m:r>
        <m:f>
          <m:fPr>
            <m:type m:val="bar"/>
          </m:fPr>
          <m:num>
            <m:r>
              <m:rPr>
                <m:nor/>
                <m:sty m:val="p"/>
              </m:rPr>
              <m:t>meta-</m:t>
            </m:r>
            <m:sSup>
              <m:e>
                <m:r>
                  <m:t>d</m:t>
                </m:r>
              </m:e>
              <m:sup>
                <m:r>
                  <m:rPr>
                    <m:sty m:val="p"/>
                  </m:rPr>
                  <m:t>′</m:t>
                </m:r>
              </m:sup>
            </m:sSup>
          </m:num>
          <m:den>
            <m:sSup>
              <m:e>
                <m:r>
                  <m:t>d</m:t>
                </m:r>
              </m:e>
              <m:sup>
                <m:r>
                  <m:rPr>
                    <m:sty m:val="p"/>
                  </m:rPr>
                  <m:t>′</m:t>
                </m:r>
              </m:sup>
            </m:sSup>
          </m:den>
        </m:f>
      </m:oMath>
      <w:r>
        <w:t xml:space="preserve">. To ensure that</w:t>
      </w:r>
      <w:r>
        <w:t xml:space="preserve"> </w:t>
      </w:r>
      <m:oMath>
        <m:r>
          <m:t>0</m:t>
        </m:r>
        <m:r>
          <m:rPr>
            <m:sty m:val="p"/>
          </m:rPr>
          <m:t>≤</m:t>
        </m:r>
        <m:r>
          <m:t>M</m:t>
        </m:r>
        <m:r>
          <m:rPr>
            <m:sty m:val="p"/>
          </m:rPr>
          <m:t>≤</m:t>
        </m:r>
        <m:r>
          <m:rPr>
            <m:sty m:val="p"/>
          </m:rPr>
          <m:t>∞</m:t>
        </m:r>
      </m:oMath>
      <w:r>
        <w:t xml:space="preserve">, the</w:t>
      </w:r>
      <w:r>
        <w:t xml:space="preserve"> </w:t>
      </w:r>
      <m:oMath>
        <m:r>
          <m:t>M</m:t>
        </m:r>
      </m:oMath>
      <w:r>
        <w:t xml:space="preserve">-ratio is modeled with a logarithmic link function.</w:t>
      </w:r>
      <w:r>
        <w:rPr>
          <w:rStyle w:val="FootnoteReference"/>
        </w:rPr>
        <w:footnoteReference w:id="61"/>
      </w:r>
      <w:r>
        <w:t xml:space="preserve"> </w:t>
      </w:r>
      <w:r>
        <w:t xml:space="preserve">In this parameterization, one can compute</w:t>
      </w:r>
      <w:r>
        <w:t xml:space="preserve"> </w:t>
      </w:r>
      <m:oMath>
        <m:r>
          <m:rPr>
            <m:nor/>
            <m:sty m:val="p"/>
          </m:rPr>
          <m:t>meta-</m:t>
        </m:r>
        <m:sSup>
          <m:e>
            <m:r>
              <m:t>d</m:t>
            </m:r>
          </m:e>
          <m:sup>
            <m:r>
              <m:rPr>
                <m:sty m:val="p"/>
              </m:rPr>
              <m:t>′</m:t>
            </m:r>
          </m:sup>
        </m:sSup>
      </m:oMath>
      <w:r>
        <w:t xml:space="preserve"> </w:t>
      </w:r>
      <w:r>
        <w:t xml:space="preserve">using the transformation</w:t>
      </w:r>
      <w:r>
        <w:t xml:space="preserve"> </w:t>
      </w:r>
      <m:oMath>
        <m:r>
          <m:rPr>
            <m:nor/>
            <m:sty m:val="p"/>
          </m:rPr>
          <m:t>meta-</m:t>
        </m:r>
        <m:sSup>
          <m:e>
            <m:r>
              <m:t>d</m:t>
            </m:r>
          </m:e>
          <m:sup>
            <m:r>
              <m:rPr>
                <m:sty m:val="p"/>
              </m:rPr>
              <m:t>′</m:t>
            </m:r>
          </m:sup>
        </m:sSup>
        <m:r>
          <m:rPr>
            <m:sty m:val="p"/>
          </m:rPr>
          <m:t>=</m:t>
        </m:r>
        <m:r>
          <m:t>M</m:t>
        </m:r>
        <m:sSup>
          <m:e>
            <m:r>
              <m:t>d</m:t>
            </m:r>
          </m:e>
          <m:sup>
            <m:r>
              <m:rPr>
                <m:sty m:val="p"/>
              </m:rPr>
              <m:t>′</m:t>
            </m:r>
          </m:sup>
        </m:sSup>
      </m:oMath>
      <w:r>
        <w:t xml:space="preserve">.</w:t>
      </w:r>
    </w:p>
    <w:p>
      <w:pPr>
        <w:pStyle w:val="BodyText"/>
      </w:pPr>
      <w:r>
        <w:t xml:space="preserve">Second, in the original parameterization, the Type II criteria are ordinally constrained. Specifically,</w:t>
      </w:r>
      <w:r>
        <w:t xml:space="preserve"> </w:t>
      </w:r>
      <m:oMath>
        <m:r>
          <m:rPr>
            <m:nor/>
            <m:sty m:val="b"/>
          </m:rPr>
          <m:t>meta-</m:t>
        </m:r>
        <m:sSubSup>
          <m:e>
            <m:r>
              <m:rPr>
                <m:sty m:val="bi"/>
              </m:rPr>
              <m:t>c</m:t>
            </m:r>
          </m:e>
          <m:sub>
            <m:r>
              <m:rPr>
                <m:sty m:val="b"/>
              </m:rPr>
              <m:t>2</m:t>
            </m:r>
          </m:sub>
          <m:sup>
            <m:r>
              <m:rPr>
                <m:sty m:val="b"/>
              </m:rPr>
              <m:t>0</m:t>
            </m:r>
          </m:sup>
        </m:sSubSup>
      </m:oMath>
      <w:r>
        <w:t xml:space="preserve"> </w:t>
      </w:r>
      <w:r>
        <w:t xml:space="preserve">is constrained to be decreasing and below</w:t>
      </w:r>
      <w:r>
        <w:t xml:space="preserve"> </w:t>
      </w:r>
      <m:oMath>
        <m:r>
          <m:rPr>
            <m:nor/>
            <m:sty m:val="p"/>
          </m:rPr>
          <m:t>meta-</m:t>
        </m:r>
        <m:r>
          <m:t>c</m:t>
        </m:r>
      </m:oMath>
      <w:r>
        <w:t xml:space="preserve">, whereas</w:t>
      </w:r>
      <w:r>
        <w:t xml:space="preserve"> </w:t>
      </w:r>
      <m:oMath>
        <m:r>
          <m:rPr>
            <m:nor/>
            <m:sty m:val="b"/>
          </m:rPr>
          <m:t>meta-</m:t>
        </m:r>
        <m:sSubSup>
          <m:e>
            <m:r>
              <m:rPr>
                <m:sty m:val="bi"/>
              </m:rPr>
              <m:t>c</m:t>
            </m:r>
          </m:e>
          <m:sub>
            <m:r>
              <m:rPr>
                <m:sty m:val="b"/>
              </m:rPr>
              <m:t>2</m:t>
            </m:r>
          </m:sub>
          <m:sup>
            <m:r>
              <m:rPr>
                <m:sty m:val="b"/>
              </m:rPr>
              <m:t>1</m:t>
            </m:r>
          </m:sup>
        </m:sSubSup>
      </m:oMath>
      <w:r>
        <w:t xml:space="preserve"> </w:t>
      </w:r>
      <w:r>
        <w:t xml:space="preserve">is constrained to be increasing and above</w:t>
      </w:r>
      <w:r>
        <w:t xml:space="preserve"> </w:t>
      </w:r>
      <m:oMath>
        <m:r>
          <m:rPr>
            <m:nor/>
            <m:sty m:val="p"/>
          </m:rPr>
          <m:t>meta-</m:t>
        </m:r>
        <m:r>
          <m:t>c</m:t>
        </m:r>
      </m:oMath>
      <w:r>
        <w:t xml:space="preserve">:</w:t>
      </w:r>
    </w:p>
    <w:p>
      <w:pPr>
        <w:pStyle w:val="BodyText"/>
      </w:pPr>
      <m:oMathPara>
        <m:oMathParaPr>
          <m:jc m:val="center"/>
        </m:oMathParaPr>
        <m:oMath>
          <m:r>
            <m:rPr>
              <m:nor/>
              <m:sty m:val="p"/>
            </m:rPr>
            <m:t>meta-</m:t>
          </m:r>
          <m:sSubSup>
            <m:e>
              <m:r>
                <m:t>c</m:t>
              </m:r>
            </m:e>
            <m:sub>
              <m:r>
                <m:t>2</m:t>
              </m:r>
              <m:r>
                <m:rPr>
                  <m:sty m:val="p"/>
                </m:rPr>
                <m:t>,</m:t>
              </m:r>
              <m:r>
                <m:t>K</m:t>
              </m:r>
              <m:r>
                <m:rPr>
                  <m:sty m:val="p"/>
                </m:rPr>
                <m:t>−</m:t>
              </m:r>
              <m:r>
                <m:t>1</m:t>
              </m:r>
            </m:sub>
            <m:sup>
              <m:r>
                <m:t>0</m:t>
              </m:r>
            </m:sup>
          </m:sSubSup>
          <m:r>
            <m:rPr>
              <m:sty m:val="p"/>
            </m:rPr>
            <m:t>≤</m:t>
          </m:r>
          <m:r>
            <m:rPr>
              <m:sty m:val="p"/>
            </m:rPr>
            <m:t>…</m:t>
          </m:r>
          <m:r>
            <m:rPr>
              <m:sty m:val="p"/>
            </m:rPr>
            <m:t>≤</m:t>
          </m:r>
          <m:r>
            <m:rPr>
              <m:nor/>
              <m:sty m:val="p"/>
            </m:rPr>
            <m:t>meta-</m:t>
          </m:r>
          <m:sSubSup>
            <m:e>
              <m:r>
                <m:t>c</m:t>
              </m:r>
            </m:e>
            <m:sub>
              <m:r>
                <m:t>2</m:t>
              </m:r>
              <m:r>
                <m:rPr>
                  <m:sty m:val="p"/>
                </m:rPr>
                <m:t>,</m:t>
              </m:r>
              <m:r>
                <m:t>1</m:t>
              </m:r>
            </m:sub>
            <m:sup>
              <m:r>
                <m:t>0</m:t>
              </m:r>
            </m:sup>
          </m:sSubSup>
          <m:r>
            <m:rPr>
              <m:sty m:val="p"/>
            </m:rPr>
            <m:t>≤</m:t>
          </m:r>
          <m:r>
            <m:rPr>
              <m:nor/>
              <m:sty m:val="p"/>
            </m:rPr>
            <m:t>meta-</m:t>
          </m:r>
          <m:r>
            <m:t>c</m:t>
          </m:r>
          <m:r>
            <m:rPr>
              <m:sty m:val="p"/>
            </m:rPr>
            <m:t>≤</m:t>
          </m:r>
          <m:r>
            <m:rPr>
              <m:nor/>
              <m:sty m:val="p"/>
            </m:rPr>
            <m:t>meta-</m:t>
          </m:r>
          <m:sSubSup>
            <m:e>
              <m:r>
                <m:t>c</m:t>
              </m:r>
            </m:e>
            <m:sub>
              <m:r>
                <m:t>2</m:t>
              </m:r>
              <m:r>
                <m:rPr>
                  <m:sty m:val="p"/>
                </m:rPr>
                <m:t>,</m:t>
              </m:r>
              <m:r>
                <m:t>1</m:t>
              </m:r>
            </m:sub>
            <m:sup>
              <m:r>
                <m:t>1</m:t>
              </m:r>
            </m:sup>
          </m:sSubSup>
          <m:r>
            <m:rPr>
              <m:sty m:val="p"/>
            </m:rPr>
            <m:t>≤</m:t>
          </m:r>
          <m:r>
            <m:rPr>
              <m:sty m:val="p"/>
            </m:rPr>
            <m:t>…</m:t>
          </m:r>
          <m:r>
            <m:rPr>
              <m:sty m:val="p"/>
            </m:rPr>
            <m:t>≤</m:t>
          </m:r>
          <m:r>
            <m:rPr>
              <m:nor/>
              <m:sty m:val="p"/>
            </m:rPr>
            <m:t>meta-</m:t>
          </m:r>
          <m:sSubSup>
            <m:e>
              <m:r>
                <m:t>c</m:t>
              </m:r>
            </m:e>
            <m:sub>
              <m:r>
                <m:t>2</m:t>
              </m:r>
              <m:r>
                <m:rPr>
                  <m:sty m:val="p"/>
                </m:rPr>
                <m:t>,</m:t>
              </m:r>
              <m:r>
                <m:t>K</m:t>
              </m:r>
              <m:r>
                <m:rPr>
                  <m:sty m:val="p"/>
                </m:rPr>
                <m:t>−</m:t>
              </m:r>
              <m:r>
                <m:t>1</m:t>
              </m:r>
            </m:sub>
            <m:sup>
              <m:r>
                <m:t>1</m:t>
              </m:r>
            </m:sup>
          </m:sSubSup>
        </m:oMath>
      </m:oMathPara>
    </w:p>
    <w:p>
      <w:pPr>
        <w:pStyle w:val="FirstParagraph"/>
      </w:pPr>
      <w:r>
        <w:t xml:space="preserve">Previous implementations of the model either used constrained optimization</w:t>
      </w:r>
      <w:r>
        <w:t xml:space="preserve"> </w:t>
      </w:r>
      <w:r>
        <w:t xml:space="preserve">(</w:t>
      </w:r>
      <w:hyperlink w:anchor="ref-maniscalco2014">
        <w:r>
          <w:rPr>
            <w:rStyle w:val="Hyperlink"/>
          </w:rPr>
          <w:t xml:space="preserve">Maniscalco &amp; Lau, 2014</w:t>
        </w:r>
      </w:hyperlink>
      <w:r>
        <w:t xml:space="preserve">)</w:t>
      </w:r>
      <w:r>
        <w:t xml:space="preserve"> </w:t>
      </w:r>
      <w:r>
        <w:t xml:space="preserve">or sorted the Type II criteria</w:t>
      </w:r>
      <w:r>
        <w:t xml:space="preserve"> </w:t>
      </w:r>
      <w:r>
        <w:t xml:space="preserve">(</w:t>
      </w:r>
      <w:hyperlink w:anchor="ref-fleming2017">
        <w:r>
          <w:rPr>
            <w:rStyle w:val="Hyperlink"/>
          </w:rPr>
          <w:t xml:space="preserve">Fleming, 2017</w:t>
        </w:r>
      </w:hyperlink>
      <w:r>
        <w:t xml:space="preserve">)</w:t>
      </w:r>
      <w:r>
        <w:t xml:space="preserve"> </w:t>
      </w:r>
      <w:r>
        <w:t xml:space="preserve">to meet this constraint. As a more flexible alternative, the</w:t>
      </w:r>
      <w:r>
        <w:t xml:space="preserve"> </w:t>
      </w:r>
      <w:r>
        <w:rPr>
          <w:rStyle w:val="VerbatimChar"/>
        </w:rPr>
        <w:t xml:space="preserve">hmetad</w:t>
      </w:r>
      <w:r>
        <w:t xml:space="preserve"> </w:t>
      </w:r>
      <w:r>
        <w:t xml:space="preserve">package instead uses the positive ordered transform to model the</w:t>
      </w:r>
      <w:r>
        <w:t xml:space="preserve"> </w:t>
      </w:r>
      <w:r>
        <w:t xml:space="preserve"> </w:t>
      </w:r>
      <w:r>
        <w:t xml:space="preserve">between successive Type II criteria. Where</w:t>
      </w:r>
      <w:r>
        <w:t xml:space="preserve"> </w:t>
      </w:r>
      <m:oMath>
        <m:r>
          <m:t>K</m:t>
        </m:r>
      </m:oMath>
      <w:r>
        <w:t xml:space="preserve"> </w:t>
      </w:r>
      <w:r>
        <w:t xml:space="preserve">is the number of confidence levels,</w:t>
      </w:r>
      <w:r>
        <w:t xml:space="preserve"> </w:t>
      </w:r>
      <m:oMath>
        <m:r>
          <m:t>K</m:t>
        </m:r>
        <m:r>
          <m:rPr>
            <m:sty m:val="p"/>
          </m:rPr>
          <m:t>−</m:t>
        </m:r>
        <m:r>
          <m:t>1</m:t>
        </m:r>
      </m:oMath>
      <w:r>
        <w:t xml:space="preserve"> </w:t>
      </w:r>
      <w:r>
        <w:t xml:space="preserve">is the number of confidence criteria per response, we define</w:t>
      </w:r>
      <w:r>
        <w:t xml:space="preserve"> </w:t>
      </w:r>
      <m:oMath>
        <m:r>
          <m:t>δ</m:t>
        </m:r>
        <m:r>
          <m:rPr>
            <m:nor/>
            <m:sty m:val="p"/>
          </m:rPr>
          <m:t>meta-</m:t>
        </m:r>
        <m:sSubSup>
          <m:e>
            <m:r>
              <m:t>c</m:t>
            </m:r>
          </m:e>
          <m:sub>
            <m:r>
              <m:t>2</m:t>
            </m:r>
            <m:r>
              <m:rPr>
                <m:sty m:val="p"/>
              </m:rPr>
              <m:t>,</m:t>
            </m:r>
            <m:r>
              <m:t>k</m:t>
            </m:r>
          </m:sub>
          <m:sup>
            <m:r>
              <m:t>0</m:t>
            </m:r>
          </m:sup>
        </m:sSubSup>
      </m:oMath>
      <w:r>
        <w:t xml:space="preserve"> </w:t>
      </w:r>
      <w:r>
        <w:t xml:space="preserve">and</w:t>
      </w:r>
      <w:r>
        <w:t xml:space="preserve"> </w:t>
      </w:r>
      <m:oMath>
        <m:r>
          <m:t>δ</m:t>
        </m:r>
        <m:r>
          <m:rPr>
            <m:nor/>
            <m:sty m:val="p"/>
          </m:rPr>
          <m:t>meta-</m:t>
        </m:r>
        <m:sSubSup>
          <m:e>
            <m:r>
              <m:t>c</m:t>
            </m:r>
          </m:e>
          <m:sub>
            <m:r>
              <m:t>2</m:t>
            </m:r>
            <m:r>
              <m:rPr>
                <m:sty m:val="p"/>
              </m:rPr>
              <m:t>,</m:t>
            </m:r>
            <m:r>
              <m:t>k</m:t>
            </m:r>
          </m:sub>
          <m:sup>
            <m:r>
              <m:t>1</m:t>
            </m:r>
          </m:sup>
        </m:sSubSup>
      </m:oMath>
      <w:r>
        <w:t xml:space="preserve"> </w:t>
      </w:r>
      <w:r>
        <w:t xml:space="preserve">as the distances between Type II criteria for</w:t>
      </w:r>
      <w:r>
        <w:t xml:space="preserve"> </w:t>
      </w:r>
      <m:oMath>
        <m:r>
          <m:t>R</m:t>
        </m:r>
        <m:r>
          <m:rPr>
            <m:sty m:val="p"/>
          </m:rPr>
          <m:t>=</m:t>
        </m:r>
        <m:r>
          <m:t>0</m:t>
        </m:r>
      </m:oMath>
      <w:r>
        <w:t xml:space="preserve"> </w:t>
      </w:r>
      <w:r>
        <w:t xml:space="preserve">and</w:t>
      </w:r>
      <w:r>
        <w:t xml:space="preserve"> </w:t>
      </w:r>
      <m:oMath>
        <m:r>
          <m:t>R</m:t>
        </m:r>
        <m:r>
          <m:rPr>
            <m:sty m:val="p"/>
          </m:rPr>
          <m:t>=</m:t>
        </m:r>
        <m:r>
          <m:t>1</m:t>
        </m:r>
      </m:oMath>
      <w:r>
        <w:t xml:space="preserve">:</w:t>
      </w:r>
    </w:p>
    <w:p>
      <w:pPr>
        <w:pStyle w:val="BodyText"/>
      </w:pPr>
      <m:oMathPara>
        <m:oMathParaPr>
          <m:jc m:val="center"/>
        </m:oMathParaPr>
        <m:oMath>
          <m:m>
            <m:mPr>
              <m:baseJc m:val="center"/>
              <m:plcHide m:val="on"/>
              <m:mcs>
                <m:mc>
                  <m:mcPr>
                    <m:mcJc m:val="right"/>
                    <m:count m:val="1"/>
                  </m:mcPr>
                </m:mc>
              </m:mcs>
            </m:mPr>
            <m:mr>
              <m:e>
                <m:r>
                  <m:t>δ</m:t>
                </m:r>
                <m:r>
                  <m:rPr>
                    <m:nor/>
                    <m:sty m:val="p"/>
                  </m:rPr>
                  <m:t>meta-</m:t>
                </m:r>
                <m:sSubSup>
                  <m:e>
                    <m:r>
                      <m:t>c</m:t>
                    </m:r>
                  </m:e>
                  <m:sub>
                    <m:r>
                      <m:t>2</m:t>
                    </m:r>
                    <m:r>
                      <m:rPr>
                        <m:sty m:val="p"/>
                      </m:rPr>
                      <m:t>,</m:t>
                    </m:r>
                    <m:r>
                      <m:t>k</m:t>
                    </m:r>
                  </m:sub>
                  <m:sup>
                    <m:r>
                      <m:t>0</m:t>
                    </m:r>
                  </m:sup>
                </m:sSubSup>
                <m:r>
                  <m:rPr>
                    <m:sty m:val="p"/>
                  </m:rPr>
                  <m:t>=</m:t>
                </m:r>
                <m:d>
                  <m:dPr>
                    <m:begChr m:val="{"/>
                    <m:sepChr m:val=""/>
                    <m:endChr m:val=""/>
                    <m:grow/>
                  </m:dPr>
                  <m:e>
                    <m:m>
                      <m:mPr>
                        <m:baseJc m:val="center"/>
                        <m:plcHide m:val="on"/>
                        <m:mcs>
                          <m:mc>
                            <m:mcPr>
                              <m:mcJc m:val="left"/>
                              <m:count m:val="1"/>
                            </m:mcPr>
                          </m:mc>
                          <m:mc>
                            <m:mcPr>
                              <m:mcJc m:val="left"/>
                              <m:count m:val="1"/>
                            </m:mcPr>
                          </m:mc>
                        </m:mcs>
                      </m:mPr>
                      <m:mr>
                        <m:e>
                          <m:r>
                            <m:rPr>
                              <m:nor/>
                              <m:sty m:val="p"/>
                            </m:rPr>
                            <m:t>meta-</m:t>
                          </m:r>
                          <m:r>
                            <m:t>c</m:t>
                          </m:r>
                          <m:r>
                            <m:rPr>
                              <m:sty m:val="p"/>
                            </m:rPr>
                            <m:t>−</m:t>
                          </m:r>
                          <m:r>
                            <m:rPr>
                              <m:nor/>
                              <m:sty m:val="p"/>
                            </m:rPr>
                            <m:t>meta-</m:t>
                          </m:r>
                          <m:sSubSup>
                            <m:e>
                              <m:r>
                                <m:t>c</m:t>
                              </m:r>
                            </m:e>
                            <m:sub>
                              <m:r>
                                <m:t>2</m:t>
                              </m:r>
                              <m:r>
                                <m:rPr>
                                  <m:sty m:val="p"/>
                                </m:rPr>
                                <m:t>,</m:t>
                              </m:r>
                              <m:r>
                                <m:t>1</m:t>
                              </m:r>
                            </m:sub>
                            <m:sup>
                              <m:r>
                                <m:t>0</m:t>
                              </m:r>
                            </m:sup>
                          </m:sSubSup>
                        </m:e>
                        <m:e>
                          <m:r>
                            <m:rPr>
                              <m:nor/>
                              <m:sty m:val="p"/>
                            </m:rPr>
                            <m:t>if </m:t>
                          </m:r>
                          <m:r>
                            <m:t>k</m:t>
                          </m:r>
                          <m:r>
                            <m:rPr>
                              <m:sty m:val="p"/>
                            </m:rPr>
                            <m:t>=</m:t>
                          </m:r>
                          <m:r>
                            <m:t>1</m:t>
                          </m:r>
                        </m:e>
                      </m:mr>
                      <m:mr>
                        <m:e>
                          <m:r>
                            <m:rPr>
                              <m:nor/>
                              <m:sty m:val="p"/>
                            </m:rPr>
                            <m:t>meta-</m:t>
                          </m:r>
                          <m:sSubSup>
                            <m:e>
                              <m:r>
                                <m:t>c</m:t>
                              </m:r>
                            </m:e>
                            <m:sub>
                              <m:r>
                                <m:t>2</m:t>
                              </m:r>
                              <m:r>
                                <m:rPr>
                                  <m:sty m:val="p"/>
                                </m:rPr>
                                <m:t>,</m:t>
                              </m:r>
                              <m:r>
                                <m:t>k</m:t>
                              </m:r>
                              <m:r>
                                <m:rPr>
                                  <m:sty m:val="p"/>
                                </m:rPr>
                                <m:t>−</m:t>
                              </m:r>
                              <m:r>
                                <m:t>1</m:t>
                              </m:r>
                            </m:sub>
                            <m:sup>
                              <m:r>
                                <m:t>0</m:t>
                              </m:r>
                            </m:sup>
                          </m:sSubSup>
                          <m:r>
                            <m:rPr>
                              <m:sty m:val="p"/>
                            </m:rPr>
                            <m:t>−</m:t>
                          </m:r>
                          <m:r>
                            <m:rPr>
                              <m:nor/>
                              <m:sty m:val="p"/>
                            </m:rPr>
                            <m:t>meta-</m:t>
                          </m:r>
                          <m:sSubSup>
                            <m:e>
                              <m:r>
                                <m:t>c</m:t>
                              </m:r>
                            </m:e>
                            <m:sub>
                              <m:r>
                                <m:t>2</m:t>
                              </m:r>
                              <m:r>
                                <m:rPr>
                                  <m:sty m:val="p"/>
                                </m:rPr>
                                <m:t>,</m:t>
                              </m:r>
                              <m:r>
                                <m:t>k</m:t>
                              </m:r>
                            </m:sub>
                            <m:sup>
                              <m:r>
                                <m:t>0</m:t>
                              </m:r>
                            </m:sup>
                          </m:sSubSup>
                        </m:e>
                        <m:e>
                          <m:r>
                            <m:rPr>
                              <m:nor/>
                              <m:sty m:val="p"/>
                            </m:rPr>
                            <m:t>if </m:t>
                          </m:r>
                          <m:r>
                            <m:t>2</m:t>
                          </m:r>
                          <m:r>
                            <m:rPr>
                              <m:sty m:val="p"/>
                            </m:rPr>
                            <m:t>≤</m:t>
                          </m:r>
                          <m:r>
                            <m:t>k</m:t>
                          </m:r>
                          <m:r>
                            <m:rPr>
                              <m:sty m:val="p"/>
                            </m:rPr>
                            <m:t>≤</m:t>
                          </m:r>
                          <m:r>
                            <m:t>K</m:t>
                          </m:r>
                          <m:r>
                            <m:rPr>
                              <m:sty m:val="p"/>
                            </m:rPr>
                            <m:t>−</m:t>
                          </m:r>
                          <m:r>
                            <m:t>1</m:t>
                          </m:r>
                        </m:e>
                      </m:mr>
                    </m:m>
                  </m:e>
                </m:d>
              </m:e>
            </m:mr>
            <m:mr>
              <m:e>
                <m:r>
                  <m:t>δ</m:t>
                </m:r>
                <m:r>
                  <m:rPr>
                    <m:nor/>
                    <m:sty m:val="p"/>
                  </m:rPr>
                  <m:t>meta-</m:t>
                </m:r>
                <m:sSubSup>
                  <m:e>
                    <m:r>
                      <m:t>c</m:t>
                    </m:r>
                  </m:e>
                  <m:sub>
                    <m:r>
                      <m:t>2</m:t>
                    </m:r>
                    <m:r>
                      <m:rPr>
                        <m:sty m:val="p"/>
                      </m:rPr>
                      <m:t>,</m:t>
                    </m:r>
                    <m:r>
                      <m:t>k</m:t>
                    </m:r>
                  </m:sub>
                  <m:sup>
                    <m:r>
                      <m:t>1</m:t>
                    </m:r>
                  </m:sup>
                </m:sSubSup>
                <m:r>
                  <m:rPr>
                    <m:sty m:val="p"/>
                  </m:rPr>
                  <m:t>=</m:t>
                </m:r>
                <m:d>
                  <m:dPr>
                    <m:begChr m:val="{"/>
                    <m:sepChr m:val=""/>
                    <m:endChr m:val=""/>
                    <m:grow/>
                  </m:dPr>
                  <m:e>
                    <m:m>
                      <m:mPr>
                        <m:baseJc m:val="center"/>
                        <m:plcHide m:val="on"/>
                        <m:mcs>
                          <m:mc>
                            <m:mcPr>
                              <m:mcJc m:val="left"/>
                              <m:count m:val="1"/>
                            </m:mcPr>
                          </m:mc>
                          <m:mc>
                            <m:mcPr>
                              <m:mcJc m:val="left"/>
                              <m:count m:val="1"/>
                            </m:mcPr>
                          </m:mc>
                        </m:mcs>
                      </m:mPr>
                      <m:mr>
                        <m:e>
                          <m:r>
                            <m:rPr>
                              <m:nor/>
                              <m:sty m:val="p"/>
                            </m:rPr>
                            <m:t>meta-</m:t>
                          </m:r>
                          <m:sSubSup>
                            <m:e>
                              <m:r>
                                <m:t>c</m:t>
                              </m:r>
                            </m:e>
                            <m:sub>
                              <m:r>
                                <m:t>2</m:t>
                              </m:r>
                              <m:r>
                                <m:rPr>
                                  <m:sty m:val="p"/>
                                </m:rPr>
                                <m:t>,</m:t>
                              </m:r>
                              <m:r>
                                <m:t>1</m:t>
                              </m:r>
                            </m:sub>
                            <m:sup>
                              <m:r>
                                <m:t>1</m:t>
                              </m:r>
                            </m:sup>
                          </m:sSubSup>
                          <m:r>
                            <m:rPr>
                              <m:sty m:val="p"/>
                            </m:rPr>
                            <m:t>−</m:t>
                          </m:r>
                          <m:r>
                            <m:rPr>
                              <m:nor/>
                              <m:sty m:val="p"/>
                            </m:rPr>
                            <m:t>meta-</m:t>
                          </m:r>
                          <m:r>
                            <m:t>c</m:t>
                          </m:r>
                        </m:e>
                        <m:e>
                          <m:r>
                            <m:rPr>
                              <m:nor/>
                              <m:sty m:val="p"/>
                            </m:rPr>
                            <m:t>if </m:t>
                          </m:r>
                          <m:r>
                            <m:t>k</m:t>
                          </m:r>
                          <m:r>
                            <m:rPr>
                              <m:sty m:val="p"/>
                            </m:rPr>
                            <m:t>=</m:t>
                          </m:r>
                          <m:r>
                            <m:t>1</m:t>
                          </m:r>
                        </m:e>
                      </m:mr>
                      <m:mr>
                        <m:e>
                          <m:r>
                            <m:rPr>
                              <m:nor/>
                              <m:sty m:val="p"/>
                            </m:rPr>
                            <m:t>meta-</m:t>
                          </m:r>
                          <m:sSubSup>
                            <m:e>
                              <m:r>
                                <m:t>c</m:t>
                              </m:r>
                            </m:e>
                            <m:sub>
                              <m:r>
                                <m:t>2</m:t>
                              </m:r>
                              <m:r>
                                <m:rPr>
                                  <m:sty m:val="p"/>
                                </m:rPr>
                                <m:t>,</m:t>
                              </m:r>
                              <m:r>
                                <m:t>k</m:t>
                              </m:r>
                            </m:sub>
                            <m:sup>
                              <m:r>
                                <m:t>1</m:t>
                              </m:r>
                            </m:sup>
                          </m:sSubSup>
                          <m:r>
                            <m:rPr>
                              <m:sty m:val="p"/>
                            </m:rPr>
                            <m:t>−</m:t>
                          </m:r>
                          <m:r>
                            <m:rPr>
                              <m:nor/>
                              <m:sty m:val="p"/>
                            </m:rPr>
                            <m:t>meta-</m:t>
                          </m:r>
                          <m:sSubSup>
                            <m:e>
                              <m:r>
                                <m:t>c</m:t>
                              </m:r>
                            </m:e>
                            <m:sub>
                              <m:r>
                                <m:t>2</m:t>
                              </m:r>
                              <m:r>
                                <m:rPr>
                                  <m:sty m:val="p"/>
                                </m:rPr>
                                <m:t>,</m:t>
                              </m:r>
                              <m:r>
                                <m:t>k</m:t>
                              </m:r>
                              <m:r>
                                <m:rPr>
                                  <m:sty m:val="p"/>
                                </m:rPr>
                                <m:t>−</m:t>
                              </m:r>
                              <m:r>
                                <m:t>1</m:t>
                              </m:r>
                            </m:sub>
                            <m:sup>
                              <m:r>
                                <m:t>1</m:t>
                              </m:r>
                            </m:sup>
                          </m:sSubSup>
                        </m:e>
                        <m:e>
                          <m:r>
                            <m:rPr>
                              <m:nor/>
                              <m:sty m:val="p"/>
                            </m:rPr>
                            <m:t>if </m:t>
                          </m:r>
                          <m:r>
                            <m:t>2</m:t>
                          </m:r>
                          <m:r>
                            <m:rPr>
                              <m:sty m:val="p"/>
                            </m:rPr>
                            <m:t>≤</m:t>
                          </m:r>
                          <m:r>
                            <m:t>k</m:t>
                          </m:r>
                          <m:r>
                            <m:rPr>
                              <m:sty m:val="p"/>
                            </m:rPr>
                            <m:t>≤</m:t>
                          </m:r>
                          <m:r>
                            <m:t>K</m:t>
                          </m:r>
                          <m:r>
                            <m:rPr>
                              <m:sty m:val="p"/>
                            </m:rPr>
                            <m:t>−</m:t>
                          </m:r>
                          <m:r>
                            <m:t>1</m:t>
                          </m:r>
                        </m:e>
                      </m:mr>
                    </m:m>
                  </m:e>
                </m:d>
              </m:e>
            </m:mr>
          </m:m>
        </m:oMath>
      </m:oMathPara>
    </w:p>
    <w:p>
      <w:pPr>
        <w:pStyle w:val="FirstParagraph"/>
      </w:pPr>
      <w:r>
        <w:t xml:space="preserve">Under this parameterization, the actual Type II criteria are computed using the inverse transform:</w:t>
      </w:r>
    </w:p>
    <w:p>
      <w:pPr>
        <w:pStyle w:val="BodyText"/>
      </w:pPr>
      <m:oMathPara>
        <m:oMathParaPr>
          <m:jc m:val="center"/>
        </m:oMathParaPr>
        <m:oMath>
          <m:eqArr>
            <m:e>
              <m:r>
                <m:rPr>
                  <m:nor/>
                  <m:sty m:val="b"/>
                </m:rPr>
                <m:t>meta-</m:t>
              </m:r>
              <m:sSubSup>
                <m:e>
                  <m:r>
                    <m:rPr>
                      <m:sty m:val="bi"/>
                    </m:rPr>
                    <m:t>c</m:t>
                  </m:r>
                </m:e>
                <m:sub>
                  <m:r>
                    <m:rPr>
                      <m:sty m:val="b"/>
                    </m:rPr>
                    <m:t>2</m:t>
                  </m:r>
                </m:sub>
                <m:sup>
                  <m:r>
                    <m:rPr>
                      <m:sty m:val="b"/>
                    </m:rPr>
                    <m:t>0</m:t>
                  </m:r>
                </m:sup>
              </m:sSubSup>
              <m:r>
                <m:t>&amp;</m:t>
              </m:r>
              <m:r>
                <m:rPr>
                  <m:sty m:val="p"/>
                </m:rPr>
                <m:t>=</m:t>
              </m:r>
              <m:r>
                <m:rPr>
                  <m:nor/>
                  <m:sty m:val="p"/>
                </m:rPr>
                <m:t>meta-</m:t>
              </m:r>
              <m:r>
                <m:t>c</m:t>
              </m:r>
              <m:r>
                <m:rPr>
                  <m:sty m:val="p"/>
                </m:rPr>
                <m:t>−</m:t>
              </m:r>
              <m:r>
                <m:rPr>
                  <m:nor/>
                  <m:sty m:val="p"/>
                </m:rPr>
                <m:t>cumulative_sum</m:t>
              </m:r>
              <m:r>
                <m:t>​</m:t>
              </m:r>
              <m:d>
                <m:dPr>
                  <m:begChr m:val="("/>
                  <m:sepChr m:val=""/>
                  <m:endChr m:val=")"/>
                  <m:grow/>
                </m:dPr>
                <m:e>
                  <m:r>
                    <m:rPr>
                      <m:sty m:val="bi"/>
                    </m:rPr>
                    <m:t>δ</m:t>
                  </m:r>
                  <m:r>
                    <m:rPr>
                      <m:nor/>
                      <m:sty m:val="b"/>
                    </m:rPr>
                    <m:t>meta-</m:t>
                  </m:r>
                  <m:sSubSup>
                    <m:e>
                      <m:r>
                        <m:rPr>
                          <m:sty m:val="bi"/>
                        </m:rPr>
                        <m:t>c</m:t>
                      </m:r>
                    </m:e>
                    <m:sub>
                      <m:r>
                        <m:rPr>
                          <m:sty m:val="b"/>
                        </m:rPr>
                        <m:t>2</m:t>
                      </m:r>
                    </m:sub>
                    <m:sup>
                      <m:r>
                        <m:rPr>
                          <m:sty m:val="b"/>
                        </m:rPr>
                        <m:t>0</m:t>
                      </m:r>
                    </m:sup>
                  </m:sSubSup>
                </m:e>
              </m:d>
            </m:e>
            <m:e>
              <m:r>
                <m:rPr>
                  <m:nor/>
                  <m:sty m:val="b"/>
                </m:rPr>
                <m:t>meta-</m:t>
              </m:r>
              <m:sSubSup>
                <m:e>
                  <m:r>
                    <m:rPr>
                      <m:sty m:val="bi"/>
                    </m:rPr>
                    <m:t>c</m:t>
                  </m:r>
                </m:e>
                <m:sub>
                  <m:r>
                    <m:rPr>
                      <m:sty m:val="b"/>
                    </m:rPr>
                    <m:t>2</m:t>
                  </m:r>
                </m:sub>
                <m:sup>
                  <m:r>
                    <m:rPr>
                      <m:sty m:val="b"/>
                    </m:rPr>
                    <m:t>1</m:t>
                  </m:r>
                </m:sup>
              </m:sSubSup>
              <m:r>
                <m:t>&amp;</m:t>
              </m:r>
              <m:r>
                <m:rPr>
                  <m:sty m:val="p"/>
                </m:rPr>
                <m:t>=</m:t>
              </m:r>
              <m:r>
                <m:rPr>
                  <m:nor/>
                  <m:sty m:val="p"/>
                </m:rPr>
                <m:t>meta-</m:t>
              </m:r>
              <m:r>
                <m:t>c</m:t>
              </m:r>
              <m:r>
                <m:rPr>
                  <m:sty m:val="p"/>
                </m:rPr>
                <m:t>+</m:t>
              </m:r>
              <m:r>
                <m:rPr>
                  <m:nor/>
                  <m:sty m:val="p"/>
                </m:rPr>
                <m:t>cumulative_sum</m:t>
              </m:r>
              <m:r>
                <m:t>​</m:t>
              </m:r>
              <m:d>
                <m:dPr>
                  <m:begChr m:val="("/>
                  <m:sepChr m:val=""/>
                  <m:endChr m:val=")"/>
                  <m:grow/>
                </m:dPr>
                <m:e>
                  <m:r>
                    <m:rPr>
                      <m:sty m:val="bi"/>
                    </m:rPr>
                    <m:t>δ</m:t>
                  </m:r>
                  <m:r>
                    <m:rPr>
                      <m:nor/>
                      <m:sty m:val="b"/>
                    </m:rPr>
                    <m:t>meta-</m:t>
                  </m:r>
                  <m:sSubSup>
                    <m:e>
                      <m:r>
                        <m:rPr>
                          <m:sty m:val="bi"/>
                        </m:rPr>
                        <m:t>c</m:t>
                      </m:r>
                    </m:e>
                    <m:sub>
                      <m:r>
                        <m:rPr>
                          <m:sty m:val="b"/>
                        </m:rPr>
                        <m:t>2</m:t>
                      </m:r>
                    </m:sub>
                    <m:sup>
                      <m:r>
                        <m:rPr>
                          <m:sty m:val="b"/>
                        </m:rPr>
                        <m:t>1</m:t>
                      </m:r>
                    </m:sup>
                  </m:sSubSup>
                </m:e>
              </m:d>
            </m:e>
          </m:eqArr>
        </m:oMath>
      </m:oMathPara>
    </w:p>
    <w:p>
      <w:pPr>
        <w:pStyle w:val="FirstParagraph"/>
      </w:pPr>
      <w:r>
        <w:t xml:space="preserve">As with the</w:t>
      </w:r>
      <w:r>
        <w:t xml:space="preserve"> </w:t>
      </w:r>
      <m:oMath>
        <m:r>
          <m:t>M</m:t>
        </m:r>
      </m:oMath>
      <w:r>
        <w:t xml:space="preserve">-ratio, the distances</w:t>
      </w:r>
      <w:r>
        <w:t xml:space="preserve"> </w:t>
      </w:r>
      <m:oMath>
        <m:r>
          <m:t>δ</m:t>
        </m:r>
        <m:r>
          <m:rPr>
            <m:nor/>
            <m:sty m:val="p"/>
          </m:rPr>
          <m:t>meta-</m:t>
        </m:r>
        <m:sSubSup>
          <m:e>
            <m:r>
              <m:t>c</m:t>
            </m:r>
          </m:e>
          <m:sub>
            <m:r>
              <m:t>2</m:t>
            </m:r>
            <m:r>
              <m:rPr>
                <m:sty m:val="p"/>
              </m:rPr>
              <m:t>,</m:t>
            </m:r>
            <m:r>
              <m:t>k</m:t>
            </m:r>
          </m:sub>
          <m:sup>
            <m:r>
              <m:t>0</m:t>
            </m:r>
          </m:sup>
        </m:sSubSup>
      </m:oMath>
      <w:r>
        <w:t xml:space="preserve"> </w:t>
      </w:r>
      <w:r>
        <w:t xml:space="preserve">and</w:t>
      </w:r>
      <w:r>
        <w:t xml:space="preserve"> </w:t>
      </w:r>
      <m:oMath>
        <m:r>
          <m:t>δ</m:t>
        </m:r>
        <m:r>
          <m:rPr>
            <m:nor/>
            <m:sty m:val="p"/>
          </m:rPr>
          <m:t>meta-</m:t>
        </m:r>
        <m:sSubSup>
          <m:e>
            <m:r>
              <m:t>c</m:t>
            </m:r>
          </m:e>
          <m:sub>
            <m:r>
              <m:t>2</m:t>
            </m:r>
            <m:r>
              <m:rPr>
                <m:sty m:val="p"/>
              </m:rPr>
              <m:t>,</m:t>
            </m:r>
            <m:r>
              <m:t>k</m:t>
            </m:r>
          </m:sub>
          <m:sup>
            <m:r>
              <m:t>1</m:t>
            </m:r>
          </m:sup>
        </m:sSubSup>
      </m:oMath>
      <w:r>
        <w:t xml:space="preserve"> </w:t>
      </w:r>
      <w:r>
        <w:t xml:space="preserve">are modeled with a logarithmic link function to ensure that they are positive.</w:t>
      </w:r>
    </w:p>
    <w:bookmarkStart w:id="62" w:name="including-predictors"/>
    <w:p>
      <w:pPr>
        <w:pStyle w:val="Heading3"/>
      </w:pPr>
      <w:r>
        <w:t xml:space="preserve">Including predictors</w:t>
      </w:r>
    </w:p>
    <w:p>
      <w:pPr>
        <w:pStyle w:val="FirstParagraph"/>
      </w:pPr>
      <w:r>
        <w:t xml:space="preserve">The primary benefit of the</w:t>
      </w:r>
      <w:r>
        <w:t xml:space="preserve"> </w:t>
      </w:r>
      <w:r>
        <w:rPr>
          <w:rStyle w:val="VerbatimChar"/>
        </w:rPr>
        <w:t xml:space="preserve">hmetad</w:t>
      </w:r>
      <w:r>
        <w:t xml:space="preserve"> </w:t>
      </w:r>
      <w:r>
        <w:t xml:space="preserve">package is that it specifies the</w:t>
      </w:r>
      <w:r>
        <w:t xml:space="preserve"> </w:t>
      </w:r>
      <m:oMath>
        <m:r>
          <m:rPr>
            <m:nor/>
            <m:sty m:val="p"/>
          </m:rPr>
          <m:t>meta-</m:t>
        </m:r>
        <m:sSup>
          <m:e>
            <m:r>
              <m:t>d</m:t>
            </m:r>
          </m:e>
          <m:sup>
            <m:r>
              <m:rPr>
                <m:sty m:val="p"/>
              </m:rPr>
              <m:t>′</m:t>
            </m:r>
          </m:sup>
        </m:sSup>
      </m:oMath>
      <w:r>
        <w:t xml:space="preserve"> </w:t>
      </w:r>
      <w:r>
        <w:t xml:space="preserve">model as a generalized linear model, allowing users to specify model parameters as a linear function of observed variables. For instance, where</w:t>
      </w:r>
      <w:r>
        <w:t xml:space="preserve"> </w:t>
      </w:r>
      <m:oMath>
        <m:sSub>
          <m:e>
            <m:r>
              <m:rPr>
                <m:sty m:val="bi"/>
              </m:rPr>
              <m:t>X</m:t>
            </m:r>
          </m:e>
          <m:sub>
            <m:r>
              <m:rPr>
                <m:sty m:val="bi"/>
              </m:rPr>
              <m:t>φ</m:t>
            </m:r>
          </m:sub>
        </m:sSub>
      </m:oMath>
      <w:r>
        <w:t xml:space="preserve"> </w:t>
      </w:r>
      <w:r>
        <w:t xml:space="preserve">and</w:t>
      </w:r>
      <w:r>
        <w:t xml:space="preserve"> </w:t>
      </w:r>
      <m:oMath>
        <m:sSub>
          <m:e>
            <m:r>
              <m:t>β</m:t>
            </m:r>
          </m:e>
          <m:sub>
            <m:r>
              <m:t>φ</m:t>
            </m:r>
          </m:sub>
        </m:sSub>
      </m:oMath>
      <w:r>
        <w:t xml:space="preserve"> </w:t>
      </w:r>
      <w:r>
        <w:t xml:space="preserve">are the design matrix and coefficient vector for each parameter</w:t>
      </w:r>
      <w:r>
        <w:t xml:space="preserve"> </w:t>
      </w:r>
      <m:oMath>
        <m:r>
          <m:t>φ</m:t>
        </m:r>
      </m:oMath>
      <w:r>
        <w:t xml:space="preserve">, the</w:t>
      </w:r>
      <w:r>
        <w:t xml:space="preserve"> </w:t>
      </w:r>
      <w:r>
        <w:rPr>
          <w:rStyle w:val="VerbatimChar"/>
        </w:rPr>
        <w:t xml:space="preserve">hmetad</w:t>
      </w:r>
      <w:r>
        <w:t xml:space="preserve"> </w:t>
      </w:r>
      <w:r>
        <w:t xml:space="preserve">package uses the linear model:</w:t>
      </w:r>
    </w:p>
    <w:p>
      <w:pPr>
        <w:pStyle w:val="BodyText"/>
      </w:pPr>
      <m:oMathPara>
        <m:oMathParaPr>
          <m:jc m:val="center"/>
        </m:oMathParaPr>
        <m:oMath>
          <m:eqArr>
            <m:e>
              <m:r>
                <m:rPr>
                  <m:sty m:val="p"/>
                </m:rPr>
                <m:t>log</m:t>
              </m:r>
              <m:r>
                <m:rPr>
                  <m:sty m:val="p"/>
                </m:rPr>
                <m:t>(</m:t>
              </m:r>
              <m:r>
                <m:t>M</m:t>
              </m:r>
              <m:r>
                <m:rPr>
                  <m:sty m:val="p"/>
                </m:rPr>
                <m:t>)</m:t>
              </m:r>
              <m:r>
                <m:t>&amp;</m:t>
              </m:r>
              <m:r>
                <m:rPr>
                  <m:sty m:val="p"/>
                </m:rPr>
                <m:t>=</m:t>
              </m:r>
              <m:sSub>
                <m:e>
                  <m:r>
                    <m:rPr>
                      <m:sty m:val="bi"/>
                    </m:rPr>
                    <m:t>X</m:t>
                  </m:r>
                </m:e>
                <m:sub>
                  <m:r>
                    <m:rPr>
                      <m:sty m:val="bi"/>
                    </m:rPr>
                    <m:t>M</m:t>
                  </m:r>
                </m:sub>
              </m:sSub>
              <m:sSub>
                <m:e>
                  <m:r>
                    <m:t>β</m:t>
                  </m:r>
                </m:e>
                <m:sub>
                  <m:r>
                    <m:t>M</m:t>
                  </m:r>
                </m:sub>
              </m:sSub>
            </m:e>
            <m:e>
              <m:sSup>
                <m:e>
                  <m:r>
                    <m:t>d</m:t>
                  </m:r>
                </m:e>
                <m:sup>
                  <m:r>
                    <m:rPr>
                      <m:sty m:val="p"/>
                    </m:rPr>
                    <m:t>′</m:t>
                  </m:r>
                </m:sup>
              </m:sSup>
              <m:r>
                <m:t>&amp;</m:t>
              </m:r>
              <m:r>
                <m:rPr>
                  <m:sty m:val="p"/>
                </m:rPr>
                <m:t>=</m:t>
              </m:r>
              <m:sSub>
                <m:e>
                  <m:r>
                    <m:rPr>
                      <m:sty m:val="bi"/>
                    </m:rPr>
                    <m:t>X</m:t>
                  </m:r>
                </m:e>
                <m:sub>
                  <m:sSup>
                    <m:e>
                      <m:r>
                        <m:rPr>
                          <m:sty m:val="bi"/>
                        </m:rPr>
                        <m:t>d</m:t>
                      </m:r>
                    </m:e>
                    <m:sup>
                      <m:r>
                        <m:rPr>
                          <m:sty m:val="b"/>
                        </m:rPr>
                        <m:t>′</m:t>
                      </m:r>
                    </m:sup>
                  </m:sSup>
                </m:sub>
              </m:sSub>
              <m:sSub>
                <m:e>
                  <m:r>
                    <m:t>β</m:t>
                  </m:r>
                </m:e>
                <m:sub>
                  <m:sSup>
                    <m:e>
                      <m:r>
                        <m:t>d</m:t>
                      </m:r>
                    </m:e>
                    <m:sup>
                      <m:r>
                        <m:rPr>
                          <m:sty m:val="p"/>
                        </m:rPr>
                        <m:t>′</m:t>
                      </m:r>
                    </m:sup>
                  </m:sSup>
                </m:sub>
              </m:sSub>
            </m:e>
            <m:e>
              <m:r>
                <m:t>c</m:t>
              </m:r>
              <m:r>
                <m:t>&amp;</m:t>
              </m:r>
              <m:r>
                <m:rPr>
                  <m:sty m:val="p"/>
                </m:rPr>
                <m:t>=</m:t>
              </m:r>
              <m:sSub>
                <m:e>
                  <m:r>
                    <m:rPr>
                      <m:sty m:val="bi"/>
                    </m:rPr>
                    <m:t>X</m:t>
                  </m:r>
                </m:e>
                <m:sub>
                  <m:r>
                    <m:rPr>
                      <m:sty m:val="bi"/>
                    </m:rPr>
                    <m:t>c</m:t>
                  </m:r>
                </m:sub>
              </m:sSub>
              <m:sSub>
                <m:e>
                  <m:r>
                    <m:t>β</m:t>
                  </m:r>
                </m:e>
                <m:sub>
                  <m:r>
                    <m:t>c</m:t>
                  </m:r>
                </m:sub>
              </m:sSub>
            </m:e>
            <m:e>
              <m:r>
                <m:rPr>
                  <m:sty m:val="p"/>
                </m:rPr>
                <m:t>log</m:t>
              </m:r>
              <m:r>
                <m:rPr>
                  <m:sty m:val="p"/>
                </m:rPr>
                <m:t>(</m:t>
              </m:r>
              <m:r>
                <m:t>δ</m:t>
              </m:r>
              <m:r>
                <m:rPr>
                  <m:nor/>
                  <m:sty m:val="p"/>
                </m:rPr>
                <m:t>meta-</m:t>
              </m:r>
              <m:sSubSup>
                <m:e>
                  <m:r>
                    <m:t>c</m:t>
                  </m:r>
                </m:e>
                <m:sub>
                  <m:r>
                    <m:t>2</m:t>
                  </m:r>
                  <m:r>
                    <m:rPr>
                      <m:sty m:val="p"/>
                    </m:rPr>
                    <m:t>,</m:t>
                  </m:r>
                  <m:r>
                    <m:t>k</m:t>
                  </m:r>
                </m:sub>
                <m:sup>
                  <m:r>
                    <m:t>0</m:t>
                  </m:r>
                </m:sup>
              </m:sSubSup>
              <m:r>
                <m:rPr>
                  <m:sty m:val="p"/>
                </m:rPr>
                <m:t>)</m:t>
              </m:r>
              <m:r>
                <m:t>&amp;</m:t>
              </m:r>
              <m:r>
                <m:rPr>
                  <m:sty m:val="p"/>
                </m:rPr>
                <m:t>=</m:t>
              </m:r>
              <m:sSub>
                <m:e>
                  <m:r>
                    <m:rPr>
                      <m:sty m:val="bi"/>
                    </m:rPr>
                    <m:t>X</m:t>
                  </m:r>
                </m:e>
                <m:sub>
                  <m:r>
                    <m:rPr>
                      <m:sty m:val="bi"/>
                    </m:rPr>
                    <m:t>δ</m:t>
                  </m:r>
                  <m:r>
                    <m:rPr>
                      <m:nor/>
                      <m:sty m:val="b"/>
                    </m:rPr>
                    <m:t>meta-</m:t>
                  </m:r>
                  <m:sSubSup>
                    <m:e>
                      <m:r>
                        <m:rPr>
                          <m:sty m:val="bi"/>
                        </m:rPr>
                        <m:t>c</m:t>
                      </m:r>
                    </m:e>
                    <m:sub>
                      <m:r>
                        <m:rPr>
                          <m:sty m:val="b"/>
                        </m:rPr>
                        <m:t>2</m:t>
                      </m:r>
                      <m:r>
                        <m:rPr>
                          <m:sty m:val="b"/>
                        </m:rPr>
                        <m:t>,</m:t>
                      </m:r>
                      <m:r>
                        <m:rPr>
                          <m:sty m:val="bi"/>
                        </m:rPr>
                        <m:t>k</m:t>
                      </m:r>
                    </m:sub>
                    <m:sup>
                      <m:r>
                        <m:rPr>
                          <m:sty m:val="b"/>
                        </m:rPr>
                        <m:t>0</m:t>
                      </m:r>
                    </m:sup>
                  </m:sSubSup>
                </m:sub>
              </m:sSub>
              <m:sSub>
                <m:e>
                  <m:r>
                    <m:t>β</m:t>
                  </m:r>
                </m:e>
                <m:sub>
                  <m:r>
                    <m:t>δ</m:t>
                  </m:r>
                  <m:r>
                    <m:rPr>
                      <m:nor/>
                      <m:sty m:val="p"/>
                    </m:rPr>
                    <m:t>meta-</m:t>
                  </m:r>
                  <m:sSubSup>
                    <m:e>
                      <m:r>
                        <m:t>c</m:t>
                      </m:r>
                    </m:e>
                    <m:sub>
                      <m:r>
                        <m:t>2</m:t>
                      </m:r>
                      <m:r>
                        <m:rPr>
                          <m:sty m:val="p"/>
                        </m:rPr>
                        <m:t>,</m:t>
                      </m:r>
                      <m:r>
                        <m:t>k</m:t>
                      </m:r>
                    </m:sub>
                    <m:sup>
                      <m:r>
                        <m:t>0</m:t>
                      </m:r>
                    </m:sup>
                  </m:sSubSup>
                </m:sub>
              </m:sSub>
            </m:e>
            <m:e>
              <m:r>
                <m:rPr>
                  <m:sty m:val="p"/>
                </m:rPr>
                <m:t>log</m:t>
              </m:r>
              <m:r>
                <m:rPr>
                  <m:sty m:val="p"/>
                </m:rPr>
                <m:t>(</m:t>
              </m:r>
              <m:r>
                <m:t>δ</m:t>
              </m:r>
              <m:r>
                <m:rPr>
                  <m:nor/>
                  <m:sty m:val="p"/>
                </m:rPr>
                <m:t>meta-</m:t>
              </m:r>
              <m:sSubSup>
                <m:e>
                  <m:r>
                    <m:t>c</m:t>
                  </m:r>
                </m:e>
                <m:sub>
                  <m:r>
                    <m:t>2</m:t>
                  </m:r>
                  <m:r>
                    <m:rPr>
                      <m:sty m:val="p"/>
                    </m:rPr>
                    <m:t>,</m:t>
                  </m:r>
                  <m:r>
                    <m:t>k</m:t>
                  </m:r>
                </m:sub>
                <m:sup>
                  <m:r>
                    <m:t>1</m:t>
                  </m:r>
                </m:sup>
              </m:sSubSup>
              <m:r>
                <m:rPr>
                  <m:sty m:val="p"/>
                </m:rPr>
                <m:t>)</m:t>
              </m:r>
              <m:r>
                <m:t>&amp;</m:t>
              </m:r>
              <m:r>
                <m:rPr>
                  <m:sty m:val="p"/>
                </m:rPr>
                <m:t>=</m:t>
              </m:r>
              <m:sSub>
                <m:e>
                  <m:r>
                    <m:rPr>
                      <m:sty m:val="bi"/>
                    </m:rPr>
                    <m:t>X</m:t>
                  </m:r>
                </m:e>
                <m:sub>
                  <m:r>
                    <m:rPr>
                      <m:sty m:val="bi"/>
                    </m:rPr>
                    <m:t>δ</m:t>
                  </m:r>
                  <m:r>
                    <m:rPr>
                      <m:nor/>
                      <m:sty m:val="b"/>
                    </m:rPr>
                    <m:t>meta-</m:t>
                  </m:r>
                  <m:sSubSup>
                    <m:e>
                      <m:r>
                        <m:rPr>
                          <m:sty m:val="bi"/>
                        </m:rPr>
                        <m:t>c</m:t>
                      </m:r>
                    </m:e>
                    <m:sub>
                      <m:r>
                        <m:rPr>
                          <m:sty m:val="b"/>
                        </m:rPr>
                        <m:t>2</m:t>
                      </m:r>
                      <m:r>
                        <m:rPr>
                          <m:sty m:val="b"/>
                        </m:rPr>
                        <m:t>,</m:t>
                      </m:r>
                      <m:r>
                        <m:rPr>
                          <m:sty m:val="bi"/>
                        </m:rPr>
                        <m:t>k</m:t>
                      </m:r>
                    </m:sub>
                    <m:sup>
                      <m:r>
                        <m:rPr>
                          <m:sty m:val="b"/>
                        </m:rPr>
                        <m:t>1</m:t>
                      </m:r>
                    </m:sup>
                  </m:sSubSup>
                </m:sub>
              </m:sSub>
              <m:sSub>
                <m:e>
                  <m:r>
                    <m:t>β</m:t>
                  </m:r>
                </m:e>
                <m:sub>
                  <m:r>
                    <m:t>δ</m:t>
                  </m:r>
                  <m:r>
                    <m:rPr>
                      <m:nor/>
                      <m:sty m:val="p"/>
                    </m:rPr>
                    <m:t>meta-</m:t>
                  </m:r>
                  <m:sSubSup>
                    <m:e>
                      <m:r>
                        <m:t>c</m:t>
                      </m:r>
                    </m:e>
                    <m:sub>
                      <m:r>
                        <m:t>2</m:t>
                      </m:r>
                      <m:r>
                        <m:rPr>
                          <m:sty m:val="p"/>
                        </m:rPr>
                        <m:t>,</m:t>
                      </m:r>
                      <m:r>
                        <m:t>k</m:t>
                      </m:r>
                    </m:sub>
                    <m:sup>
                      <m:r>
                        <m:t>1</m:t>
                      </m:r>
                    </m:sup>
                  </m:sSubSup>
                </m:sub>
              </m:sSub>
            </m:e>
          </m:eqArr>
        </m:oMath>
      </m:oMathPara>
    </w:p>
    <w:p>
      <w:pPr>
        <w:pStyle w:val="FirstParagraph"/>
      </w:pPr>
      <w:r>
        <w:t xml:space="preserve">Importantly, the</w:t>
      </w:r>
      <w:r>
        <w:t xml:space="preserve"> </w:t>
      </w:r>
      <w:r>
        <w:rPr>
          <w:rStyle w:val="VerbatimChar"/>
        </w:rPr>
        <w:t xml:space="preserve">hmetad</w:t>
      </w:r>
      <w:r>
        <w:t xml:space="preserve"> </w:t>
      </w:r>
      <w:r>
        <w:t xml:space="preserve">package allows for the design matrices to differ for each model parameter. As with any other</w:t>
      </w:r>
      <w:r>
        <w:t xml:space="preserve"> </w:t>
      </w:r>
      <w:r>
        <w:rPr>
          <w:rStyle w:val="VerbatimChar"/>
        </w:rPr>
        <w:t xml:space="preserve">brms</w:t>
      </w:r>
      <w:r>
        <w:t xml:space="preserve"> </w:t>
      </w:r>
      <w:r>
        <w:t xml:space="preserve">family, it is also possible to include multilevel (or hierarchical) structure</w:t>
      </w:r>
      <w:r>
        <w:t xml:space="preserve"> </w:t>
      </w:r>
      <w:r>
        <w:t xml:space="preserve">(</w:t>
      </w:r>
      <w:hyperlink w:anchor="ref-buerkner2018">
        <w:r>
          <w:rPr>
            <w:rStyle w:val="Hyperlink"/>
          </w:rPr>
          <w:t xml:space="preserve">Bürkner, 2018</w:t>
        </w:r>
      </w:hyperlink>
      <w:r>
        <w:t xml:space="preserve">)</w:t>
      </w:r>
      <w:r>
        <w:t xml:space="preserve">. Where</w:t>
      </w:r>
      <w:r>
        <w:t xml:space="preserve"> </w:t>
      </w:r>
      <m:oMath>
        <m:sSub>
          <m:e>
            <m:r>
              <m:rPr>
                <m:sty m:val="bi"/>
              </m:rPr>
              <m:t>Z</m:t>
            </m:r>
          </m:e>
          <m:sub>
            <m:r>
              <m:rPr>
                <m:sty m:val="bi"/>
              </m:rPr>
              <m:t>φ</m:t>
            </m:r>
          </m:sub>
        </m:sSub>
      </m:oMath>
      <w:r>
        <w:t xml:space="preserve"> </w:t>
      </w:r>
      <w:r>
        <w:t xml:space="preserve">and</w:t>
      </w:r>
      <w:r>
        <w:t xml:space="preserve"> </w:t>
      </w:r>
      <m:oMath>
        <m:sSub>
          <m:e>
            <m:r>
              <m:t>γ</m:t>
            </m:r>
          </m:e>
          <m:sub>
            <m:r>
              <m:t>φ</m:t>
            </m:r>
          </m:sub>
        </m:sSub>
      </m:oMath>
      <w:r>
        <w:t xml:space="preserve"> </w:t>
      </w:r>
      <w:r>
        <w:t xml:space="preserve">are the group-level design matrix and coefficient vector for each parameter</w:t>
      </w:r>
      <w:r>
        <w:t xml:space="preserve"> </w:t>
      </w:r>
      <m:oMath>
        <m:r>
          <m:t>φ</m:t>
        </m:r>
      </m:oMath>
      <w:r>
        <w:t xml:space="preserve">:</w:t>
      </w:r>
    </w:p>
    <w:p>
      <w:pPr>
        <w:pStyle w:val="BodyText"/>
      </w:pPr>
      <m:oMathPara>
        <m:oMathParaPr>
          <m:jc m:val="center"/>
        </m:oMathParaPr>
        <m:oMath>
          <m:eqArr>
            <m:e>
              <m:r>
                <m:rPr>
                  <m:sty m:val="p"/>
                </m:rPr>
                <m:t>log</m:t>
              </m:r>
              <m:r>
                <m:rPr>
                  <m:sty m:val="p"/>
                </m:rPr>
                <m:t>(</m:t>
              </m:r>
              <m:r>
                <m:t>M</m:t>
              </m:r>
              <m:r>
                <m:rPr>
                  <m:sty m:val="p"/>
                </m:rPr>
                <m:t>)</m:t>
              </m:r>
              <m:r>
                <m:t>&amp;</m:t>
              </m:r>
              <m:r>
                <m:rPr>
                  <m:sty m:val="p"/>
                </m:rPr>
                <m:t>=</m:t>
              </m:r>
              <m:sSub>
                <m:e>
                  <m:r>
                    <m:rPr>
                      <m:sty m:val="bi"/>
                    </m:rPr>
                    <m:t>X</m:t>
                  </m:r>
                </m:e>
                <m:sub>
                  <m:r>
                    <m:rPr>
                      <m:sty m:val="bi"/>
                    </m:rPr>
                    <m:t>M</m:t>
                  </m:r>
                </m:sub>
              </m:sSub>
              <m:sSub>
                <m:e>
                  <m:r>
                    <m:t>β</m:t>
                  </m:r>
                </m:e>
                <m:sub>
                  <m:r>
                    <m:t>M</m:t>
                  </m:r>
                </m:sub>
              </m:sSub>
              <m:r>
                <m:t> </m:t>
              </m:r>
              <m:r>
                <m:rPr>
                  <m:sty m:val="p"/>
                </m:rPr>
                <m:t>+</m:t>
              </m:r>
              <m:r>
                <m:t> </m:t>
              </m:r>
              <m:sSub>
                <m:e>
                  <m:r>
                    <m:rPr>
                      <m:sty m:val="bi"/>
                    </m:rPr>
                    <m:t>Z</m:t>
                  </m:r>
                </m:e>
                <m:sub>
                  <m:r>
                    <m:rPr>
                      <m:sty m:val="bi"/>
                    </m:rPr>
                    <m:t>M</m:t>
                  </m:r>
                </m:sub>
              </m:sSub>
              <m:sSub>
                <m:e>
                  <m:r>
                    <m:t>γ</m:t>
                  </m:r>
                </m:e>
                <m:sub>
                  <m:r>
                    <m:t>M</m:t>
                  </m:r>
                </m:sub>
              </m:sSub>
            </m:e>
            <m:e>
              <m:sSup>
                <m:e>
                  <m:r>
                    <m:t>d</m:t>
                  </m:r>
                </m:e>
                <m:sup>
                  <m:r>
                    <m:rPr>
                      <m:sty m:val="p"/>
                    </m:rPr>
                    <m:t>′</m:t>
                  </m:r>
                </m:sup>
              </m:sSup>
              <m:r>
                <m:t>&amp;</m:t>
              </m:r>
              <m:r>
                <m:rPr>
                  <m:sty m:val="p"/>
                </m:rPr>
                <m:t>=</m:t>
              </m:r>
              <m:sSub>
                <m:e>
                  <m:r>
                    <m:rPr>
                      <m:sty m:val="bi"/>
                    </m:rPr>
                    <m:t>X</m:t>
                  </m:r>
                </m:e>
                <m:sub>
                  <m:sSup>
                    <m:e>
                      <m:r>
                        <m:rPr>
                          <m:sty m:val="bi"/>
                        </m:rPr>
                        <m:t>d</m:t>
                      </m:r>
                    </m:e>
                    <m:sup>
                      <m:r>
                        <m:rPr>
                          <m:sty m:val="b"/>
                        </m:rPr>
                        <m:t>′</m:t>
                      </m:r>
                    </m:sup>
                  </m:sSup>
                </m:sub>
              </m:sSub>
              <m:sSub>
                <m:e>
                  <m:r>
                    <m:t>β</m:t>
                  </m:r>
                </m:e>
                <m:sub>
                  <m:sSup>
                    <m:e>
                      <m:r>
                        <m:t>d</m:t>
                      </m:r>
                    </m:e>
                    <m:sup>
                      <m:r>
                        <m:rPr>
                          <m:sty m:val="p"/>
                        </m:rPr>
                        <m:t>′</m:t>
                      </m:r>
                    </m:sup>
                  </m:sSup>
                </m:sub>
              </m:sSub>
              <m:r>
                <m:t> </m:t>
              </m:r>
              <m:r>
                <m:rPr>
                  <m:sty m:val="p"/>
                </m:rPr>
                <m:t>+</m:t>
              </m:r>
              <m:r>
                <m:t> </m:t>
              </m:r>
              <m:sSub>
                <m:e>
                  <m:r>
                    <m:rPr>
                      <m:sty m:val="bi"/>
                    </m:rPr>
                    <m:t>Z</m:t>
                  </m:r>
                </m:e>
                <m:sub>
                  <m:sSup>
                    <m:e>
                      <m:r>
                        <m:rPr>
                          <m:sty m:val="bi"/>
                        </m:rPr>
                        <m:t>d</m:t>
                      </m:r>
                    </m:e>
                    <m:sup>
                      <m:r>
                        <m:rPr>
                          <m:sty m:val="b"/>
                        </m:rPr>
                        <m:t>′</m:t>
                      </m:r>
                    </m:sup>
                  </m:sSup>
                </m:sub>
              </m:sSub>
              <m:sSub>
                <m:e>
                  <m:r>
                    <m:t>γ</m:t>
                  </m:r>
                </m:e>
                <m:sub>
                  <m:sSup>
                    <m:e>
                      <m:r>
                        <m:t>d</m:t>
                      </m:r>
                    </m:e>
                    <m:sup>
                      <m:r>
                        <m:rPr>
                          <m:sty m:val="p"/>
                        </m:rPr>
                        <m:t>′</m:t>
                      </m:r>
                    </m:sup>
                  </m:sSup>
                </m:sub>
              </m:sSub>
            </m:e>
            <m:e>
              <m:r>
                <m:t>c</m:t>
              </m:r>
              <m:r>
                <m:t>&amp;</m:t>
              </m:r>
              <m:r>
                <m:rPr>
                  <m:sty m:val="p"/>
                </m:rPr>
                <m:t>=</m:t>
              </m:r>
              <m:sSub>
                <m:e>
                  <m:r>
                    <m:rPr>
                      <m:sty m:val="bi"/>
                    </m:rPr>
                    <m:t>X</m:t>
                  </m:r>
                </m:e>
                <m:sub>
                  <m:r>
                    <m:rPr>
                      <m:sty m:val="bi"/>
                    </m:rPr>
                    <m:t>c</m:t>
                  </m:r>
                </m:sub>
              </m:sSub>
              <m:sSub>
                <m:e>
                  <m:r>
                    <m:t>β</m:t>
                  </m:r>
                </m:e>
                <m:sub>
                  <m:r>
                    <m:t>c</m:t>
                  </m:r>
                </m:sub>
              </m:sSub>
              <m:r>
                <m:t> </m:t>
              </m:r>
              <m:r>
                <m:rPr>
                  <m:sty m:val="p"/>
                </m:rPr>
                <m:t>+</m:t>
              </m:r>
              <m:r>
                <m:t> </m:t>
              </m:r>
              <m:sSub>
                <m:e>
                  <m:r>
                    <m:rPr>
                      <m:sty m:val="bi"/>
                    </m:rPr>
                    <m:t>Z</m:t>
                  </m:r>
                </m:e>
                <m:sub>
                  <m:r>
                    <m:rPr>
                      <m:sty m:val="bi"/>
                    </m:rPr>
                    <m:t>c</m:t>
                  </m:r>
                </m:sub>
              </m:sSub>
              <m:sSub>
                <m:e>
                  <m:r>
                    <m:t>γ</m:t>
                  </m:r>
                </m:e>
                <m:sub>
                  <m:r>
                    <m:t>c</m:t>
                  </m:r>
                </m:sub>
              </m:sSub>
            </m:e>
            <m:e>
              <m:r>
                <m:rPr>
                  <m:sty m:val="p"/>
                </m:rPr>
                <m:t>log</m:t>
              </m:r>
              <m:r>
                <m:rPr>
                  <m:sty m:val="p"/>
                </m:rPr>
                <m:t>(</m:t>
              </m:r>
              <m:r>
                <m:t>δ</m:t>
              </m:r>
              <m:r>
                <m:rPr>
                  <m:nor/>
                  <m:sty m:val="p"/>
                </m:rPr>
                <m:t>meta-</m:t>
              </m:r>
              <m:sSubSup>
                <m:e>
                  <m:r>
                    <m:t>c</m:t>
                  </m:r>
                </m:e>
                <m:sub>
                  <m:r>
                    <m:t>2</m:t>
                  </m:r>
                  <m:r>
                    <m:rPr>
                      <m:sty m:val="p"/>
                    </m:rPr>
                    <m:t>,</m:t>
                  </m:r>
                  <m:r>
                    <m:t>k</m:t>
                  </m:r>
                </m:sub>
                <m:sup>
                  <m:r>
                    <m:t>0</m:t>
                  </m:r>
                </m:sup>
              </m:sSubSup>
              <m:r>
                <m:rPr>
                  <m:sty m:val="p"/>
                </m:rPr>
                <m:t>)</m:t>
              </m:r>
              <m:r>
                <m:t>&amp;</m:t>
              </m:r>
              <m:r>
                <m:rPr>
                  <m:sty m:val="p"/>
                </m:rPr>
                <m:t>=</m:t>
              </m:r>
              <m:sSub>
                <m:e>
                  <m:r>
                    <m:rPr>
                      <m:sty m:val="bi"/>
                    </m:rPr>
                    <m:t>X</m:t>
                  </m:r>
                </m:e>
                <m:sub>
                  <m:r>
                    <m:rPr>
                      <m:sty m:val="bi"/>
                    </m:rPr>
                    <m:t>δ</m:t>
                  </m:r>
                  <m:r>
                    <m:rPr>
                      <m:nor/>
                      <m:sty m:val="b"/>
                    </m:rPr>
                    <m:t>meta-</m:t>
                  </m:r>
                  <m:sSubSup>
                    <m:e>
                      <m:r>
                        <m:rPr>
                          <m:sty m:val="bi"/>
                        </m:rPr>
                        <m:t>c</m:t>
                      </m:r>
                    </m:e>
                    <m:sub>
                      <m:r>
                        <m:rPr>
                          <m:sty m:val="b"/>
                        </m:rPr>
                        <m:t>2</m:t>
                      </m:r>
                      <m:r>
                        <m:rPr>
                          <m:sty m:val="b"/>
                        </m:rPr>
                        <m:t>,</m:t>
                      </m:r>
                      <m:r>
                        <m:rPr>
                          <m:sty m:val="bi"/>
                        </m:rPr>
                        <m:t>k</m:t>
                      </m:r>
                    </m:sub>
                    <m:sup>
                      <m:r>
                        <m:rPr>
                          <m:sty m:val="b"/>
                        </m:rPr>
                        <m:t>0</m:t>
                      </m:r>
                    </m:sup>
                  </m:sSubSup>
                </m:sub>
              </m:sSub>
              <m:sSub>
                <m:e>
                  <m:r>
                    <m:t>β</m:t>
                  </m:r>
                </m:e>
                <m:sub>
                  <m:r>
                    <m:t>δ</m:t>
                  </m:r>
                  <m:r>
                    <m:rPr>
                      <m:nor/>
                      <m:sty m:val="p"/>
                    </m:rPr>
                    <m:t>meta-</m:t>
                  </m:r>
                  <m:sSubSup>
                    <m:e>
                      <m:r>
                        <m:t>c</m:t>
                      </m:r>
                    </m:e>
                    <m:sub>
                      <m:r>
                        <m:t>2</m:t>
                      </m:r>
                      <m:r>
                        <m:rPr>
                          <m:sty m:val="p"/>
                        </m:rPr>
                        <m:t>,</m:t>
                      </m:r>
                      <m:r>
                        <m:t>k</m:t>
                      </m:r>
                    </m:sub>
                    <m:sup>
                      <m:r>
                        <m:t>0</m:t>
                      </m:r>
                    </m:sup>
                  </m:sSubSup>
                </m:sub>
              </m:sSub>
              <m:r>
                <m:t> </m:t>
              </m:r>
              <m:r>
                <m:rPr>
                  <m:sty m:val="p"/>
                </m:rPr>
                <m:t>+</m:t>
              </m:r>
              <m:r>
                <m:t> </m:t>
              </m:r>
              <m:sSub>
                <m:e>
                  <m:r>
                    <m:rPr>
                      <m:sty m:val="bi"/>
                    </m:rPr>
                    <m:t>Z</m:t>
                  </m:r>
                </m:e>
                <m:sub>
                  <m:r>
                    <m:rPr>
                      <m:sty m:val="bi"/>
                    </m:rPr>
                    <m:t>δ</m:t>
                  </m:r>
                  <m:r>
                    <m:rPr>
                      <m:nor/>
                      <m:sty m:val="b"/>
                    </m:rPr>
                    <m:t>meta-</m:t>
                  </m:r>
                  <m:sSubSup>
                    <m:e>
                      <m:r>
                        <m:rPr>
                          <m:sty m:val="bi"/>
                        </m:rPr>
                        <m:t>c</m:t>
                      </m:r>
                    </m:e>
                    <m:sub>
                      <m:r>
                        <m:rPr>
                          <m:sty m:val="b"/>
                        </m:rPr>
                        <m:t>2</m:t>
                      </m:r>
                      <m:r>
                        <m:rPr>
                          <m:sty m:val="b"/>
                        </m:rPr>
                        <m:t>,</m:t>
                      </m:r>
                      <m:r>
                        <m:rPr>
                          <m:sty m:val="bi"/>
                        </m:rPr>
                        <m:t>k</m:t>
                      </m:r>
                    </m:sub>
                    <m:sup>
                      <m:r>
                        <m:rPr>
                          <m:sty m:val="b"/>
                        </m:rPr>
                        <m:t>0</m:t>
                      </m:r>
                    </m:sup>
                  </m:sSubSup>
                </m:sub>
              </m:sSub>
              <m:sSub>
                <m:e>
                  <m:r>
                    <m:t>γ</m:t>
                  </m:r>
                </m:e>
                <m:sub>
                  <m:r>
                    <m:t>δ</m:t>
                  </m:r>
                  <m:r>
                    <m:rPr>
                      <m:nor/>
                      <m:sty m:val="p"/>
                    </m:rPr>
                    <m:t>meta-</m:t>
                  </m:r>
                  <m:sSubSup>
                    <m:e>
                      <m:r>
                        <m:t>c</m:t>
                      </m:r>
                    </m:e>
                    <m:sub>
                      <m:r>
                        <m:t>2</m:t>
                      </m:r>
                      <m:r>
                        <m:rPr>
                          <m:sty m:val="p"/>
                        </m:rPr>
                        <m:t>,</m:t>
                      </m:r>
                      <m:r>
                        <m:t>k</m:t>
                      </m:r>
                    </m:sub>
                    <m:sup>
                      <m:r>
                        <m:t>0</m:t>
                      </m:r>
                    </m:sup>
                  </m:sSubSup>
                </m:sub>
              </m:sSub>
            </m:e>
            <m:e>
              <m:r>
                <m:rPr>
                  <m:sty m:val="p"/>
                </m:rPr>
                <m:t>log</m:t>
              </m:r>
              <m:r>
                <m:rPr>
                  <m:sty m:val="p"/>
                </m:rPr>
                <m:t>(</m:t>
              </m:r>
              <m:r>
                <m:t>δ</m:t>
              </m:r>
              <m:r>
                <m:rPr>
                  <m:nor/>
                  <m:sty m:val="p"/>
                </m:rPr>
                <m:t>meta-</m:t>
              </m:r>
              <m:sSubSup>
                <m:e>
                  <m:r>
                    <m:t>c</m:t>
                  </m:r>
                </m:e>
                <m:sub>
                  <m:r>
                    <m:t>2</m:t>
                  </m:r>
                  <m:r>
                    <m:rPr>
                      <m:sty m:val="p"/>
                    </m:rPr>
                    <m:t>,</m:t>
                  </m:r>
                  <m:r>
                    <m:t>k</m:t>
                  </m:r>
                </m:sub>
                <m:sup>
                  <m:r>
                    <m:t>1</m:t>
                  </m:r>
                </m:sup>
              </m:sSubSup>
              <m:r>
                <m:rPr>
                  <m:sty m:val="p"/>
                </m:rPr>
                <m:t>)</m:t>
              </m:r>
              <m:r>
                <m:t>&amp;</m:t>
              </m:r>
              <m:r>
                <m:rPr>
                  <m:sty m:val="p"/>
                </m:rPr>
                <m:t>=</m:t>
              </m:r>
              <m:sSub>
                <m:e>
                  <m:r>
                    <m:rPr>
                      <m:sty m:val="bi"/>
                    </m:rPr>
                    <m:t>X</m:t>
                  </m:r>
                </m:e>
                <m:sub>
                  <m:r>
                    <m:rPr>
                      <m:sty m:val="bi"/>
                    </m:rPr>
                    <m:t>δ</m:t>
                  </m:r>
                  <m:r>
                    <m:rPr>
                      <m:nor/>
                      <m:sty m:val="b"/>
                    </m:rPr>
                    <m:t>meta-</m:t>
                  </m:r>
                  <m:sSubSup>
                    <m:e>
                      <m:r>
                        <m:rPr>
                          <m:sty m:val="bi"/>
                        </m:rPr>
                        <m:t>c</m:t>
                      </m:r>
                    </m:e>
                    <m:sub>
                      <m:r>
                        <m:rPr>
                          <m:sty m:val="b"/>
                        </m:rPr>
                        <m:t>2</m:t>
                      </m:r>
                      <m:r>
                        <m:rPr>
                          <m:sty m:val="b"/>
                        </m:rPr>
                        <m:t>,</m:t>
                      </m:r>
                      <m:r>
                        <m:rPr>
                          <m:sty m:val="bi"/>
                        </m:rPr>
                        <m:t>k</m:t>
                      </m:r>
                    </m:sub>
                    <m:sup>
                      <m:r>
                        <m:rPr>
                          <m:sty m:val="b"/>
                        </m:rPr>
                        <m:t>1</m:t>
                      </m:r>
                    </m:sup>
                  </m:sSubSup>
                </m:sub>
              </m:sSub>
              <m:sSub>
                <m:e>
                  <m:r>
                    <m:t>β</m:t>
                  </m:r>
                </m:e>
                <m:sub>
                  <m:r>
                    <m:t>δ</m:t>
                  </m:r>
                  <m:r>
                    <m:rPr>
                      <m:nor/>
                      <m:sty m:val="p"/>
                    </m:rPr>
                    <m:t>meta-</m:t>
                  </m:r>
                  <m:sSubSup>
                    <m:e>
                      <m:r>
                        <m:t>c</m:t>
                      </m:r>
                    </m:e>
                    <m:sub>
                      <m:r>
                        <m:t>2</m:t>
                      </m:r>
                      <m:r>
                        <m:rPr>
                          <m:sty m:val="p"/>
                        </m:rPr>
                        <m:t>,</m:t>
                      </m:r>
                      <m:r>
                        <m:t>k</m:t>
                      </m:r>
                    </m:sub>
                    <m:sup>
                      <m:r>
                        <m:t>1</m:t>
                      </m:r>
                    </m:sup>
                  </m:sSubSup>
                </m:sub>
              </m:sSub>
              <m:r>
                <m:t> </m:t>
              </m:r>
              <m:r>
                <m:rPr>
                  <m:sty m:val="p"/>
                </m:rPr>
                <m:t>+</m:t>
              </m:r>
              <m:r>
                <m:t> </m:t>
              </m:r>
              <m:sSub>
                <m:e>
                  <m:r>
                    <m:rPr>
                      <m:sty m:val="bi"/>
                    </m:rPr>
                    <m:t>Z</m:t>
                  </m:r>
                </m:e>
                <m:sub>
                  <m:r>
                    <m:rPr>
                      <m:sty m:val="bi"/>
                    </m:rPr>
                    <m:t>δ</m:t>
                  </m:r>
                  <m:r>
                    <m:rPr>
                      <m:nor/>
                      <m:sty m:val="b"/>
                    </m:rPr>
                    <m:t>meta-</m:t>
                  </m:r>
                  <m:sSubSup>
                    <m:e>
                      <m:r>
                        <m:rPr>
                          <m:sty m:val="bi"/>
                        </m:rPr>
                        <m:t>c</m:t>
                      </m:r>
                    </m:e>
                    <m:sub>
                      <m:r>
                        <m:rPr>
                          <m:sty m:val="b"/>
                        </m:rPr>
                        <m:t>2</m:t>
                      </m:r>
                      <m:r>
                        <m:rPr>
                          <m:sty m:val="b"/>
                        </m:rPr>
                        <m:t>,</m:t>
                      </m:r>
                      <m:r>
                        <m:rPr>
                          <m:sty m:val="bi"/>
                        </m:rPr>
                        <m:t>k</m:t>
                      </m:r>
                    </m:sub>
                    <m:sup>
                      <m:r>
                        <m:rPr>
                          <m:sty m:val="b"/>
                        </m:rPr>
                        <m:t>1</m:t>
                      </m:r>
                    </m:sup>
                  </m:sSubSup>
                </m:sub>
              </m:sSub>
              <m:sSub>
                <m:e>
                  <m:r>
                    <m:t>γ</m:t>
                  </m:r>
                </m:e>
                <m:sub>
                  <m:r>
                    <m:t>δ</m:t>
                  </m:r>
                  <m:r>
                    <m:rPr>
                      <m:nor/>
                      <m:sty m:val="p"/>
                    </m:rPr>
                    <m:t>meta-</m:t>
                  </m:r>
                  <m:sSubSup>
                    <m:e>
                      <m:r>
                        <m:t>c</m:t>
                      </m:r>
                    </m:e>
                    <m:sub>
                      <m:r>
                        <m:t>2</m:t>
                      </m:r>
                      <m:r>
                        <m:rPr>
                          <m:sty m:val="p"/>
                        </m:rPr>
                        <m:t>,</m:t>
                      </m:r>
                      <m:r>
                        <m:t>k</m:t>
                      </m:r>
                    </m:sub>
                    <m:sup>
                      <m:r>
                        <m:t>1</m:t>
                      </m:r>
                    </m:sup>
                  </m:sSubSup>
                </m:sub>
              </m:sSub>
            </m:e>
          </m:eqArr>
        </m:oMath>
      </m:oMathPara>
    </w:p>
    <w:p>
      <w:pPr>
        <w:pStyle w:val="FirstParagraph"/>
      </w:pPr>
      <w:r>
        <w:t xml:space="preserve">Although a full description of all of the different kinds of predictors allowed in</w:t>
      </w:r>
      <w:r>
        <w:t xml:space="preserve"> </w:t>
      </w:r>
      <w:r>
        <w:rPr>
          <w:rStyle w:val="VerbatimChar"/>
        </w:rPr>
        <w:t xml:space="preserve">brms</w:t>
      </w:r>
      <w:r>
        <w:t xml:space="preserve"> </w:t>
      </w:r>
      <w:r>
        <w:t xml:space="preserve">is outside the scope of this article,</w:t>
      </w:r>
      <w:r>
        <w:t xml:space="preserve"> </w:t>
      </w:r>
      <w:r>
        <w:rPr>
          <w:rStyle w:val="VerbatimChar"/>
        </w:rPr>
        <w:t xml:space="preserve">brms</w:t>
      </w:r>
      <w:r>
        <w:t xml:space="preserve"> </w:t>
      </w:r>
      <w:r>
        <w:t xml:space="preserve">also allows for non-linear terms, monotonic predictors, autocorrelation terms, and predictors with measurement error</w:t>
      </w:r>
      <w:r>
        <w:t xml:space="preserve"> </w:t>
      </w:r>
      <w:r>
        <w:t xml:space="preserve">(</w:t>
      </w:r>
      <w:hyperlink w:anchor="ref-buerkner2017">
        <w:r>
          <w:rPr>
            <w:rStyle w:val="Hyperlink"/>
          </w:rPr>
          <w:t xml:space="preserve">Bürkner, 2017</w:t>
        </w:r>
      </w:hyperlink>
      <w:r>
        <w:t xml:space="preserve">,</w:t>
      </w:r>
      <w:r>
        <w:t xml:space="preserve"> </w:t>
      </w:r>
      <w:hyperlink w:anchor="ref-buerkner2018">
        <w:r>
          <w:rPr>
            <w:rStyle w:val="Hyperlink"/>
          </w:rPr>
          <w:t xml:space="preserve">2018</w:t>
        </w:r>
      </w:hyperlink>
      <w:r>
        <w:t xml:space="preserve">;</w:t>
      </w:r>
      <w:r>
        <w:t xml:space="preserve"> </w:t>
      </w:r>
      <w:hyperlink w:anchor="ref-buerkner2020">
        <w:r>
          <w:rPr>
            <w:rStyle w:val="Hyperlink"/>
          </w:rPr>
          <w:t xml:space="preserve">Bürkner &amp; Charpentier, 2020</w:t>
        </w:r>
      </w:hyperlink>
      <w:r>
        <w:t xml:space="preserve">)</w:t>
      </w:r>
      <w:r>
        <w:t xml:space="preserve">.</w:t>
      </w:r>
    </w:p>
    <w:bookmarkEnd w:id="62"/>
    <w:bookmarkEnd w:id="63"/>
    <w:bookmarkEnd w:id="64"/>
    <w:bookmarkStart w:id="111" w:name="fitting-the-textrmmeta-d-model-in-r"/>
    <w:p>
      <w:pPr>
        <w:pStyle w:val="Heading1"/>
      </w:pPr>
      <w:r>
        <w:t xml:space="preserve">Fitting the</w:t>
      </w:r>
      <w:r>
        <w:t xml:space="preserve"> </w:t>
      </w:r>
      <m:oMath>
        <m:r>
          <m:rPr>
            <m:nor/>
            <m:sty m:val="p"/>
          </m:rPr>
          <m:t>meta-</m:t>
        </m:r>
        <m:sSup>
          <m:e>
            <m:r>
              <m:t>d</m:t>
            </m:r>
          </m:e>
          <m:sup>
            <m:r>
              <m:rPr>
                <m:sty m:val="p"/>
              </m:rPr>
              <m:t>′</m:t>
            </m:r>
          </m:sup>
        </m:sSup>
      </m:oMath>
      <w:r>
        <w:t xml:space="preserve"> </w:t>
      </w:r>
      <w:r>
        <w:t xml:space="preserve">model in R</w:t>
      </w:r>
    </w:p>
    <w:p>
      <w:pPr>
        <w:pStyle w:val="FirstParagraph"/>
      </w:pPr>
      <w:r>
        <w:t xml:space="preserve">As a practical demonstration of how to use the</w:t>
      </w:r>
      <w:r>
        <w:t xml:space="preserve"> </w:t>
      </w:r>
      <w:r>
        <w:rPr>
          <w:rStyle w:val="VerbatimChar"/>
        </w:rPr>
        <w:t xml:space="preserve">hmetad</w:t>
      </w:r>
      <w:r>
        <w:t xml:space="preserve"> </w:t>
      </w:r>
      <w:r>
        <w:t xml:space="preserve">package to fit the</w:t>
      </w:r>
      <w:r>
        <w:t xml:space="preserve"> </w:t>
      </w:r>
      <m:oMath>
        <m:r>
          <m:rPr>
            <m:nor/>
            <m:sty m:val="p"/>
          </m:rPr>
          <m:t>meta-</m:t>
        </m:r>
        <m:sSup>
          <m:e>
            <m:r>
              <m:t>d</m:t>
            </m:r>
          </m:e>
          <m:sup>
            <m:r>
              <m:rPr>
                <m:sty m:val="p"/>
              </m:rPr>
              <m:t>′</m:t>
            </m:r>
          </m:sup>
        </m:sSup>
      </m:oMath>
      <w:r>
        <w:t xml:space="preserve"> </w:t>
      </w:r>
      <w:r>
        <w:t xml:space="preserve">model in R, here we reanalyze data from</w:t>
      </w:r>
      <w:r>
        <w:t xml:space="preserve"> </w:t>
      </w:r>
      <w:r>
        <w:t xml:space="preserve">Rouault et al. (</w:t>
      </w:r>
      <w:hyperlink w:anchor="ref-rouault2018">
        <w:r>
          <w:rPr>
            <w:rStyle w:val="Hyperlink"/>
          </w:rPr>
          <w:t xml:space="preserve">2018</w:t>
        </w:r>
      </w:hyperlink>
      <w:r>
        <w:t xml:space="preserve">)</w:t>
      </w:r>
      <w:r>
        <w:t xml:space="preserve"> </w:t>
      </w:r>
      <w:r>
        <w:t xml:space="preserve">Experiment 2. In this experiment, 497 participants (after exclusion) completed a two-alternative forced-choice perceptual decision-making task in which they were asked to decide which of two boxes contained more dots. Participants rated their confidence in their perceptual decisions on a six-point scale from</w:t>
      </w:r>
      <w:r>
        <w:t xml:space="preserve"> </w:t>
      </w:r>
      <w:r>
        <w:t xml:space="preserve">“guessing”</w:t>
      </w:r>
      <w:r>
        <w:t xml:space="preserve"> </w:t>
      </w:r>
      <w:r>
        <w:t xml:space="preserve">to</w:t>
      </w:r>
      <w:r>
        <w:t xml:space="preserve"> </w:t>
      </w:r>
      <w:r>
        <w:t xml:space="preserve">“certainly correct”</w:t>
      </w:r>
      <w:r>
        <w:t xml:space="preserve">. Participants’ performance on the perceptual task was controlled using a two-down one-up staircase on the logarithm of the difference in the number of dots between the two boxes. Finally, participants completed a number of self-report psychiatric questionnaires, which were aggregated into three factors (i.e., anxious-depression, compulsive behavior and intrusive thought, and social withdrawal) using factor analysis</w:t>
      </w:r>
      <w:r>
        <w:t xml:space="preserve"> </w:t>
      </w:r>
      <w:r>
        <w:t xml:space="preserve">(for more information, see</w:t>
      </w:r>
      <w:r>
        <w:t xml:space="preserve"> </w:t>
      </w:r>
      <w:hyperlink w:anchor="ref-rouault2018">
        <w:r>
          <w:rPr>
            <w:rStyle w:val="Hyperlink"/>
          </w:rPr>
          <w:t xml:space="preserve">Rouault et al., 2018</w:t>
        </w:r>
      </w:hyperlink>
      <w:r>
        <w:t xml:space="preserve">)</w:t>
      </w:r>
      <w:r>
        <w:t xml:space="preserve">. For simplicity, we will focus on the effects of the anxious-depression factor on metacognition, returning to the effects of the other two factors afterwards.</w:t>
      </w:r>
    </w:p>
    <w:p>
      <w:pPr>
        <w:pStyle w:val="BodyText"/>
      </w:pPr>
      <w:r>
        <w:t xml:space="preserve">In their analysis,</w:t>
      </w:r>
      <w:r>
        <w:t xml:space="preserve"> </w:t>
      </w:r>
      <w:r>
        <w:t xml:space="preserve">Rouault et al. (</w:t>
      </w:r>
      <w:hyperlink w:anchor="ref-rouault2018">
        <w:r>
          <w:rPr>
            <w:rStyle w:val="Hyperlink"/>
          </w:rPr>
          <w:t xml:space="preserve">2018</w:t>
        </w:r>
      </w:hyperlink>
      <w:r>
        <w:t xml:space="preserve">)</w:t>
      </w:r>
      <w:r>
        <w:t xml:space="preserve"> </w:t>
      </w:r>
      <w:r>
        <w:t xml:space="preserve">correlated these three factors with independent single-participant estimates of</w:t>
      </w:r>
      <w:r>
        <w:t xml:space="preserve"> </w:t>
      </w:r>
      <m:oMath>
        <m:r>
          <m:t>M</m:t>
        </m:r>
      </m:oMath>
      <w:r>
        <w:t xml:space="preserve">-ratio and mean confidence. Putting aside recent debate over whether observed correlations are due to inattentive and biased responding</w:t>
      </w:r>
      <w:r>
        <w:t xml:space="preserve"> </w:t>
      </w:r>
      <w:r>
        <w:t xml:space="preserve">(</w:t>
      </w:r>
      <w:hyperlink w:anchor="ref-gillan2026">
        <w:r>
          <w:rPr>
            <w:rStyle w:val="Hyperlink"/>
          </w:rPr>
          <w:t xml:space="preserve">Gillan et al., 2026</w:t>
        </w:r>
      </w:hyperlink>
      <w:r>
        <w:t xml:space="preserve">;</w:t>
      </w:r>
      <w:r>
        <w:t xml:space="preserve"> </w:t>
      </w:r>
      <w:hyperlink w:anchor="ref-sarna2026">
        <w:r>
          <w:rPr>
            <w:rStyle w:val="Hyperlink"/>
          </w:rPr>
          <w:t xml:space="preserve">Sarna et al., 2026a</w:t>
        </w:r>
      </w:hyperlink>
      <w:r>
        <w:t xml:space="preserve">,</w:t>
      </w:r>
      <w:r>
        <w:t xml:space="preserve"> </w:t>
      </w:r>
      <w:hyperlink w:anchor="ref-sarna2026b">
        <w:r>
          <w:rPr>
            <w:rStyle w:val="Hyperlink"/>
          </w:rPr>
          <w:t xml:space="preserve">2026b</w:t>
        </w:r>
      </w:hyperlink>
      <w:r>
        <w:t xml:space="preserve">)</w:t>
      </w:r>
      <w:r>
        <w:t xml:space="preserve">, this approach has three significant drawbacks: (a) participant-level estimates of metacognitive factors are noisy and thus benefit strongly from the partial pooling present in multilevel models</w:t>
      </w:r>
      <w:r>
        <w:t xml:space="preserve"> </w:t>
      </w:r>
      <w:r>
        <w:t xml:space="preserve">(</w:t>
      </w:r>
      <w:hyperlink w:anchor="ref-fleming2017">
        <w:r>
          <w:rPr>
            <w:rStyle w:val="Hyperlink"/>
          </w:rPr>
          <w:t xml:space="preserve">Fleming, 2017</w:t>
        </w:r>
      </w:hyperlink>
      <w:r>
        <w:t xml:space="preserve">;</w:t>
      </w:r>
      <w:r>
        <w:t xml:space="preserve"> </w:t>
      </w:r>
      <w:hyperlink w:anchor="ref-rahnev2025">
        <w:r>
          <w:rPr>
            <w:rStyle w:val="Hyperlink"/>
          </w:rPr>
          <w:t xml:space="preserve">Rahnev, 2025</w:t>
        </w:r>
      </w:hyperlink>
      <w:r>
        <w:t xml:space="preserve">)</w:t>
      </w:r>
      <w:r>
        <w:t xml:space="preserve">, (b) correlating participant-level estimates with mental health factors ignores uncertainty in participant-level estimates, as well as potential correlations in uncertainty, leading to miscalibrated statistical inferences</w:t>
      </w:r>
      <w:r>
        <w:t xml:space="preserve"> </w:t>
      </w:r>
      <w:r>
        <w:t xml:space="preserve">(</w:t>
      </w:r>
      <w:hyperlink w:anchor="ref-moutoussis2018">
        <w:r>
          <w:rPr>
            <w:rStyle w:val="Hyperlink"/>
          </w:rPr>
          <w:t xml:space="preserve">Moutoussis et al., 2018</w:t>
        </w:r>
      </w:hyperlink>
      <w:r>
        <w:t xml:space="preserve">;</w:t>
      </w:r>
      <w:r>
        <w:t xml:space="preserve"> </w:t>
      </w:r>
      <w:hyperlink w:anchor="ref-singmann2019">
        <w:r>
          <w:rPr>
            <w:rStyle w:val="Hyperlink"/>
          </w:rPr>
          <w:t xml:space="preserve">Singmann &amp; Kellen, 2019</w:t>
        </w:r>
      </w:hyperlink>
      <w:r>
        <w:t xml:space="preserve">)</w:t>
      </w:r>
      <w:r>
        <w:t xml:space="preserve">, and (c) although mean confidence is a sensitive measure of metacognitive bias, it is known to be confounded by metacognitive sensitivity and Type I performance</w:t>
      </w:r>
      <w:r>
        <w:t xml:space="preserve"> </w:t>
      </w:r>
      <w:r>
        <w:t xml:space="preserve">(</w:t>
      </w:r>
      <w:hyperlink w:anchor="ref-oneill2026">
        <w:r>
          <w:rPr>
            <w:rStyle w:val="Hyperlink"/>
          </w:rPr>
          <w:t xml:space="preserve">O’Neill et al., 2026</w:t>
        </w:r>
      </w:hyperlink>
      <w:r>
        <w:t xml:space="preserve">)</w:t>
      </w:r>
      <w:r>
        <w:t xml:space="preserve">. Here, we overcome these limitations by directly modeling the association of anxious-depression with the parameters of the</w:t>
      </w:r>
      <w:r>
        <w:t xml:space="preserve"> </w:t>
      </w:r>
      <m:oMath>
        <m:r>
          <m:rPr>
            <m:nor/>
            <m:sty m:val="p"/>
          </m:rPr>
          <m:t>meta-</m:t>
        </m:r>
        <m:sSup>
          <m:e>
            <m:r>
              <m:t>d</m:t>
            </m:r>
          </m:e>
          <m:sup>
            <m:r>
              <m:rPr>
                <m:sty m:val="p"/>
              </m:rPr>
              <m:t>′</m:t>
            </m:r>
          </m:sup>
        </m:sSup>
      </m:oMath>
      <w:r>
        <w:t xml:space="preserve"> </w:t>
      </w:r>
      <w:r>
        <w:t xml:space="preserve">model, where participant-level parameters are estimated hierarchically.</w:t>
      </w:r>
    </w:p>
    <w:bookmarkStart w:id="69" w:name="setup"/>
    <w:p>
      <w:pPr>
        <w:pStyle w:val="Heading2"/>
      </w:pPr>
      <w:r>
        <w:t xml:space="preserve">Setup</w:t>
      </w:r>
    </w:p>
    <w:bookmarkStart w:id="67" w:name="installation"/>
    <w:p>
      <w:pPr>
        <w:pStyle w:val="Heading3"/>
      </w:pPr>
      <w:r>
        <w:t xml:space="preserve">Installation</w:t>
      </w:r>
    </w:p>
    <w:p>
      <w:pPr>
        <w:pStyle w:val="FirstParagraph"/>
      </w:pPr>
      <w:r>
        <w:t xml:space="preserve">To install the latest release of the</w:t>
      </w:r>
      <w:r>
        <w:t xml:space="preserve"> </w:t>
      </w:r>
      <w:r>
        <w:rPr>
          <w:rStyle w:val="VerbatimChar"/>
        </w:rPr>
        <w:t xml:space="preserve">hmetad</w:t>
      </w:r>
      <w:r>
        <w:t xml:space="preserve"> </w:t>
      </w:r>
      <w:r>
        <w:t xml:space="preserve">package from CRAN, one can use the command</w:t>
      </w:r>
      <w:r>
        <w:t xml:space="preserve"> </w:t>
      </w:r>
      <w:r>
        <w:rPr>
          <w:rStyle w:val="VerbatimChar"/>
        </w:rPr>
        <w:t xml:space="preserve">install.packages("hmetad")</w:t>
      </w:r>
      <w:r>
        <w:t xml:space="preserve">. Alternatively, the development version of</w:t>
      </w:r>
      <w:r>
        <w:t xml:space="preserve"> </w:t>
      </w:r>
      <w:r>
        <w:rPr>
          <w:rStyle w:val="VerbatimChar"/>
        </w:rPr>
        <w:t xml:space="preserve">hmetad</w:t>
      </w:r>
      <w:r>
        <w:t xml:space="preserve"> </w:t>
      </w:r>
      <w:r>
        <w:t xml:space="preserve">can be installed using</w:t>
      </w:r>
      <w:r>
        <w:t xml:space="preserve"> </w:t>
      </w:r>
      <w:r>
        <w:rPr>
          <w:rStyle w:val="VerbatimChar"/>
        </w:rPr>
        <w:t xml:space="preserve">pak::pak("metacoglab/hmetad")</w:t>
      </w:r>
      <w:r>
        <w:t xml:space="preserve">.</w:t>
      </w:r>
    </w:p>
    <w:p>
      <w:pPr>
        <w:pStyle w:val="BodyText"/>
      </w:pPr>
      <w:r>
        <w:t xml:space="preserve">The</w:t>
      </w:r>
      <w:r>
        <w:t xml:space="preserve"> </w:t>
      </w:r>
      <w:r>
        <w:rPr>
          <w:rStyle w:val="VerbatimChar"/>
        </w:rPr>
        <w:t xml:space="preserve">hmetad</w:t>
      </w:r>
      <w:r>
        <w:t xml:space="preserve"> </w:t>
      </w:r>
      <w:r>
        <w:t xml:space="preserve">package depends on the</w:t>
      </w:r>
      <w:r>
        <w:t xml:space="preserve"> </w:t>
      </w:r>
      <w:r>
        <w:rPr>
          <w:rStyle w:val="VerbatimChar"/>
        </w:rPr>
        <w:t xml:space="preserve">brms</w:t>
      </w:r>
      <w:r>
        <w:t xml:space="preserve"> </w:t>
      </w:r>
      <w:r>
        <w:t xml:space="preserve">package, which in turn uses either the</w:t>
      </w:r>
      <w:r>
        <w:t xml:space="preserve"> </w:t>
      </w:r>
      <w:r>
        <w:rPr>
          <w:rStyle w:val="VerbatimChar"/>
        </w:rPr>
        <w:t xml:space="preserve">Rstan</w:t>
      </w:r>
      <w:r>
        <w:t xml:space="preserve"> </w:t>
      </w:r>
      <w:r>
        <w:t xml:space="preserve">or</w:t>
      </w:r>
      <w:r>
        <w:t xml:space="preserve"> </w:t>
      </w:r>
      <w:r>
        <w:rPr>
          <w:rStyle w:val="VerbatimChar"/>
        </w:rPr>
        <w:t xml:space="preserve">cmdstanr</w:t>
      </w:r>
      <w:r>
        <w:t xml:space="preserve"> </w:t>
      </w:r>
      <w:r>
        <w:t xml:space="preserve">interface to the probabilistic programming language Stan. Installing</w:t>
      </w:r>
      <w:r>
        <w:t xml:space="preserve"> </w:t>
      </w:r>
      <w:r>
        <w:rPr>
          <w:rStyle w:val="VerbatimChar"/>
        </w:rPr>
        <w:t xml:space="preserve">hmetad</w:t>
      </w:r>
      <w:r>
        <w:t xml:space="preserve"> </w:t>
      </w:r>
      <w:r>
        <w:t xml:space="preserve">will install</w:t>
      </w:r>
      <w:r>
        <w:t xml:space="preserve"> </w:t>
      </w:r>
      <w:r>
        <w:rPr>
          <w:rStyle w:val="VerbatimChar"/>
        </w:rPr>
        <w:t xml:space="preserve">Rstan</w:t>
      </w:r>
      <w:r>
        <w:t xml:space="preserve"> </w:t>
      </w:r>
      <w:r>
        <w:t xml:space="preserve">automatically, however it is also recommended to install the</w:t>
      </w:r>
      <w:r>
        <w:t xml:space="preserve"> </w:t>
      </w:r>
      <w:r>
        <w:rPr>
          <w:rStyle w:val="VerbatimChar"/>
        </w:rPr>
        <w:t xml:space="preserve">cmdstanr</w:t>
      </w:r>
      <w:r>
        <w:t xml:space="preserve"> </w:t>
      </w:r>
      <w:r>
        <w:t xml:space="preserve">package, since it produces more optimized code for most applications. In either case, both interfaces require a working C++ compiler specific to your computer’s operating system. In particular, Windows users must install RTools (</w:t>
      </w:r>
      <w:hyperlink r:id="rId65">
        <w:r>
          <w:rPr>
            <w:rStyle w:val="Hyperlink"/>
          </w:rPr>
          <w:t xml:space="preserve">https://cran.r-project.org/bin/windows/Rtools/</w:t>
        </w:r>
      </w:hyperlink>
      <w:r>
        <w:t xml:space="preserve">). For detailed information on installation, please see</w:t>
      </w:r>
      <w:r>
        <w:t xml:space="preserve"> </w:t>
      </w:r>
      <w:hyperlink r:id="rId66">
        <w:r>
          <w:rPr>
            <w:rStyle w:val="Hyperlink"/>
          </w:rPr>
          <w:t xml:space="preserve">https://mc-stan.org/install/</w:t>
        </w:r>
      </w:hyperlink>
      <w:r>
        <w:t xml:space="preserve">.</w:t>
      </w:r>
    </w:p>
    <w:p>
      <w:pPr>
        <w:pStyle w:val="BodyText"/>
      </w:pPr>
      <w:r>
        <w:t xml:space="preserve">Once installed, the</w:t>
      </w:r>
      <w:r>
        <w:t xml:space="preserve"> </w:t>
      </w:r>
      <w:r>
        <w:rPr>
          <w:rStyle w:val="VerbatimChar"/>
        </w:rPr>
        <w:t xml:space="preserve">hmetad</w:t>
      </w:r>
      <w:r>
        <w:t xml:space="preserve"> </w:t>
      </w:r>
      <w:r>
        <w:t xml:space="preserve">package can be loaded using the command</w:t>
      </w:r>
      <w:r>
        <w:t xml:space="preserve"> </w:t>
      </w:r>
      <w:r>
        <w:rPr>
          <w:rStyle w:val="VerbatimChar"/>
        </w:rPr>
        <w:t xml:space="preserve">library(hmetad)</w:t>
      </w:r>
      <w:r>
        <w:t xml:space="preserve">.</w:t>
      </w:r>
    </w:p>
    <w:bookmarkEnd w:id="67"/>
    <w:bookmarkStart w:id="68" w:name="data-preparation"/>
    <w:p>
      <w:pPr>
        <w:pStyle w:val="Heading3"/>
      </w:pPr>
      <w:r>
        <w:t xml:space="preserve">Data preparation</w:t>
      </w:r>
    </w:p>
    <w:p>
      <w:pPr>
        <w:pStyle w:val="FirstParagraph"/>
      </w:pPr>
      <w:r>
        <w:t xml:space="preserve">Most experimental software is designed to save trial-level tabular data, with one row for each individual trial and columns for each independent or dependent variable. The raw data provided by</w:t>
      </w:r>
      <w:r>
        <w:t xml:space="preserve"> </w:t>
      </w:r>
      <w:r>
        <w:t xml:space="preserve">Rouault et al. (</w:t>
      </w:r>
      <w:hyperlink w:anchor="ref-rouault2018">
        <w:r>
          <w:rPr>
            <w:rStyle w:val="Hyperlink"/>
          </w:rPr>
          <w:t xml:space="preserve">2018</w:t>
        </w:r>
      </w:hyperlink>
      <w:r>
        <w:t xml:space="preserve">)</w:t>
      </w:r>
      <w:r>
        <w:t xml:space="preserve"> </w:t>
      </w:r>
      <w:r>
        <w:t xml:space="preserve">also takes this form:</w:t>
      </w:r>
    </w:p>
    <w:p>
      <w:pPr>
        <w:pStyle w:val="SourceCode"/>
      </w:pPr>
      <w:r>
        <w:rPr>
          <w:rStyle w:val="NormalTok"/>
        </w:rPr>
        <w:t xml:space="preserve">d </w:t>
      </w:r>
      <w:r>
        <w:rPr>
          <w:rStyle w:val="OtherTok"/>
        </w:rPr>
        <w:t xml:space="preserve">&lt;-</w:t>
      </w:r>
      <w:r>
        <w:rPr>
          <w:rStyle w:val="NormalTok"/>
        </w:rPr>
        <w:t xml:space="preserve"> </w:t>
      </w:r>
      <w:r>
        <w:rPr>
          <w:rStyle w:val="FunctionTok"/>
        </w:rPr>
        <w:t xml:space="preserve">read_csv</w:t>
      </w:r>
      <w:r>
        <w:rPr>
          <w:rStyle w:val="NormalTok"/>
        </w:rPr>
        <w:t xml:space="preserve">(</w:t>
      </w:r>
      <w:r>
        <w:rPr>
          <w:rStyle w:val="StringTok"/>
        </w:rPr>
        <w:t xml:space="preserve">"rouault_2018_exp2.csv"</w:t>
      </w:r>
      <w:r>
        <w:rPr>
          <w:rStyle w:val="NormalTok"/>
        </w:rPr>
        <w:t xml:space="preserve">) </w:t>
      </w:r>
      <w:r>
        <w:rPr>
          <w:rStyle w:val="SpecialCharTok"/>
        </w:rPr>
        <w:t xml:space="preserve">|&gt;</w:t>
      </w:r>
      <w:r>
        <w:br/>
      </w:r>
      <w:r>
        <w:rPr>
          <w:rStyle w:val="NormalTok"/>
        </w:rPr>
        <w:t xml:space="preserve">  </w:t>
      </w:r>
      <w:r>
        <w:rPr>
          <w:rStyle w:val="FunctionTok"/>
        </w:rPr>
        <w:t xml:space="preserve">mutate</w:t>
      </w:r>
      <w:r>
        <w:rPr>
          <w:rStyle w:val="NormalTok"/>
        </w:rPr>
        <w:t xml:space="preserve">(</w:t>
      </w:r>
      <w:r>
        <w:br/>
      </w:r>
      <w:r>
        <w:rPr>
          <w:rStyle w:val="NormalTok"/>
        </w:rPr>
        <w:t xml:space="preserve">    </w:t>
      </w:r>
      <w:r>
        <w:rPr>
          <w:rStyle w:val="FunctionTok"/>
        </w:rPr>
        <w:t xml:space="preserve">across</w:t>
      </w:r>
      <w:r>
        <w:rPr>
          <w:rStyle w:val="NormalTok"/>
        </w:rPr>
        <w:t xml:space="preserve">(stimulus_left</w:t>
      </w:r>
      <w:r>
        <w:rPr>
          <w:rStyle w:val="SpecialCharTok"/>
        </w:rPr>
        <w:t xml:space="preserve">:</w:t>
      </w:r>
      <w:r>
        <w:rPr>
          <w:rStyle w:val="NormalTok"/>
        </w:rPr>
        <w:t xml:space="preserve">confidence, as.integer),</w:t>
      </w:r>
      <w:r>
        <w:br/>
      </w:r>
      <w:r>
        <w:rPr>
          <w:rStyle w:val="NormalTok"/>
        </w:rPr>
        <w:t xml:space="preserve">    </w:t>
      </w:r>
      <w:r>
        <w:rPr>
          <w:rStyle w:val="FunctionTok"/>
        </w:rPr>
        <w:t xml:space="preserve">across</w:t>
      </w:r>
      <w:r>
        <w:rPr>
          <w:rStyle w:val="NormalTok"/>
        </w:rPr>
        <w:t xml:space="preserve">(</w:t>
      </w:r>
      <w:r>
        <w:rPr>
          <w:rStyle w:val="FunctionTok"/>
        </w:rPr>
        <w:t xml:space="preserve">c</w:t>
      </w:r>
      <w:r>
        <w:rPr>
          <w:rStyle w:val="NormalTok"/>
        </w:rPr>
        <w:t xml:space="preserve">(participant, gender_female), factor)</w:t>
      </w:r>
      <w:r>
        <w:br/>
      </w:r>
      <w:r>
        <w:rPr>
          <w:rStyle w:val="NormalTok"/>
        </w:rPr>
        <w:t xml:space="preserve">  )</w:t>
      </w:r>
    </w:p>
    <w:p>
      <w:pPr>
        <w:pStyle w:val="SourceCode"/>
      </w:pPr>
      <w:r>
        <w:rPr>
          <w:rStyle w:val="VerbatimChar"/>
        </w:rPr>
        <w:t xml:space="preserve"># A tibble: 103,322 × 9</w:t>
      </w:r>
      <w:r>
        <w:br/>
      </w:r>
      <w:r>
        <w:rPr>
          <w:rStyle w:val="VerbatimChar"/>
        </w:rPr>
        <w:t xml:space="preserve">   participant stimulus_left response_left confidence   age gender_female</w:t>
      </w:r>
      <w:r>
        <w:br/>
      </w:r>
      <w:r>
        <w:rPr>
          <w:rStyle w:val="VerbatimChar"/>
        </w:rPr>
        <w:t xml:space="preserve">   &lt;fct&gt;               &lt;int&gt;         &lt;int&gt;      &lt;int&gt; &lt;dbl&gt; &lt;fct&gt;        </w:t>
      </w:r>
      <w:r>
        <w:br/>
      </w:r>
      <w:r>
        <w:rPr>
          <w:rStyle w:val="VerbatimChar"/>
        </w:rPr>
        <w:t xml:space="preserve"> 1 1015841                 1             1          4    32 0            </w:t>
      </w:r>
      <w:r>
        <w:br/>
      </w:r>
      <w:r>
        <w:rPr>
          <w:rStyle w:val="VerbatimChar"/>
        </w:rPr>
        <w:t xml:space="preserve"> 2 1015841                 0             0          4    32 0            </w:t>
      </w:r>
      <w:r>
        <w:br/>
      </w:r>
      <w:r>
        <w:rPr>
          <w:rStyle w:val="VerbatimChar"/>
        </w:rPr>
        <w:t xml:space="preserve"> 3 1015841                 0             0          5    32 0            </w:t>
      </w:r>
      <w:r>
        <w:br/>
      </w:r>
      <w:r>
        <w:rPr>
          <w:rStyle w:val="VerbatimChar"/>
        </w:rPr>
        <w:t xml:space="preserve"> 4 1015841                 1             1          4    32 0            </w:t>
      </w:r>
      <w:r>
        <w:br/>
      </w:r>
      <w:r>
        <w:rPr>
          <w:rStyle w:val="VerbatimChar"/>
        </w:rPr>
        <w:t xml:space="preserve"> 5 1015841                 0             1          2    32 0            </w:t>
      </w:r>
      <w:r>
        <w:br/>
      </w:r>
      <w:r>
        <w:rPr>
          <w:rStyle w:val="VerbatimChar"/>
        </w:rPr>
        <w:t xml:space="preserve"> 6 1015841                 0             0          3    32 0            </w:t>
      </w:r>
      <w:r>
        <w:br/>
      </w:r>
      <w:r>
        <w:rPr>
          <w:rStyle w:val="VerbatimChar"/>
        </w:rPr>
        <w:t xml:space="preserve"> 7 1015841                 1             1          5    32 0            </w:t>
      </w:r>
      <w:r>
        <w:br/>
      </w:r>
      <w:r>
        <w:rPr>
          <w:rStyle w:val="VerbatimChar"/>
        </w:rPr>
        <w:t xml:space="preserve"> 8 1015841                 1             1          4    32 0            </w:t>
      </w:r>
      <w:r>
        <w:br/>
      </w:r>
      <w:r>
        <w:rPr>
          <w:rStyle w:val="VerbatimChar"/>
        </w:rPr>
        <w:t xml:space="preserve"> 9 1015841                 0             0          3    32 0            </w:t>
      </w:r>
      <w:r>
        <w:br/>
      </w:r>
      <w:r>
        <w:rPr>
          <w:rStyle w:val="VerbatimChar"/>
        </w:rPr>
        <w:t xml:space="preserve">10 1015841                 0             0          4    32 0            </w:t>
      </w:r>
      <w:r>
        <w:br/>
      </w:r>
      <w:r>
        <w:rPr>
          <w:rStyle w:val="VerbatimChar"/>
        </w:rPr>
        <w:t xml:space="preserve"># ℹ 103,312 more rows</w:t>
      </w:r>
      <w:r>
        <w:br/>
      </w:r>
      <w:r>
        <w:rPr>
          <w:rStyle w:val="VerbatimChar"/>
        </w:rPr>
        <w:t xml:space="preserve"># ℹ 3 more variables: anxious_depression &lt;dbl&gt;, compulsivity &lt;dbl&gt;,</w:t>
      </w:r>
      <w:r>
        <w:br/>
      </w:r>
      <w:r>
        <w:rPr>
          <w:rStyle w:val="VerbatimChar"/>
        </w:rPr>
        <w:t xml:space="preserve">#   social_withdrawal &lt;dbl&gt;</w:t>
      </w:r>
    </w:p>
    <w:p>
      <w:pPr>
        <w:pStyle w:val="FirstParagraph"/>
      </w:pPr>
      <w:r>
        <w:t xml:space="preserve">As we can see, this is quite a large data set with 103322 observations, where</w:t>
      </w:r>
      <w:r>
        <w:t xml:space="preserve"> </w:t>
      </w:r>
      <w:r>
        <w:rPr>
          <w:rStyle w:val="VerbatimChar"/>
        </w:rPr>
        <w:t xml:space="preserve">participant</w:t>
      </w:r>
      <w:r>
        <w:t xml:space="preserve"> </w:t>
      </w:r>
      <w:r>
        <w:t xml:space="preserve">is the participant identifier,</w:t>
      </w:r>
      <w:r>
        <w:t xml:space="preserve"> </w:t>
      </w:r>
      <w:r>
        <w:rPr>
          <w:rStyle w:val="VerbatimChar"/>
        </w:rPr>
        <w:t xml:space="preserve">stimulus_left</w:t>
      </w:r>
      <w:r>
        <w:t xml:space="preserve"> </w:t>
      </w:r>
      <w:r>
        <w:t xml:space="preserve">indicates whether the box with more dots was on the left side,</w:t>
      </w:r>
      <w:r>
        <w:t xml:space="preserve"> </w:t>
      </w:r>
      <w:r>
        <w:rPr>
          <w:rStyle w:val="VerbatimChar"/>
        </w:rPr>
        <w:t xml:space="preserve">response_left</w:t>
      </w:r>
      <w:r>
        <w:t xml:space="preserve"> </w:t>
      </w:r>
      <w:r>
        <w:t xml:space="preserve">indicates whether the participant reported that the left box had more dots,</w:t>
      </w:r>
      <w:r>
        <w:t xml:space="preserve"> </w:t>
      </w:r>
      <w:r>
        <w:rPr>
          <w:rStyle w:val="VerbatimChar"/>
        </w:rPr>
        <w:t xml:space="preserve">confidence</w:t>
      </w:r>
      <w:r>
        <w:t xml:space="preserve"> </w:t>
      </w:r>
      <w:r>
        <w:t xml:space="preserve">indicates their confidence rating,</w:t>
      </w:r>
      <w:r>
        <w:t xml:space="preserve"> </w:t>
      </w:r>
      <w:r>
        <w:rPr>
          <w:rStyle w:val="VerbatimChar"/>
        </w:rPr>
        <w:t xml:space="preserve">age</w:t>
      </w:r>
      <w:r>
        <w:t xml:space="preserve"> </w:t>
      </w:r>
      <w:r>
        <w:t xml:space="preserve">and</w:t>
      </w:r>
      <w:r>
        <w:t xml:space="preserve"> </w:t>
      </w:r>
      <w:r>
        <w:rPr>
          <w:rStyle w:val="VerbatimChar"/>
        </w:rPr>
        <w:t xml:space="preserve">gender_female</w:t>
      </w:r>
      <w:r>
        <w:t xml:space="preserve"> </w:t>
      </w:r>
      <w:r>
        <w:t xml:space="preserve">are demographic variables, and</w:t>
      </w:r>
      <w:r>
        <w:t xml:space="preserve"> </w:t>
      </w:r>
      <w:r>
        <w:rPr>
          <w:rStyle w:val="VerbatimChar"/>
        </w:rPr>
        <w:t xml:space="preserve">anxious_depression</w:t>
      </w:r>
      <w:r>
        <w:t xml:space="preserve">,</w:t>
      </w:r>
      <w:r>
        <w:t xml:space="preserve"> </w:t>
      </w:r>
      <w:r>
        <w:rPr>
          <w:rStyle w:val="VerbatimChar"/>
        </w:rPr>
        <w:t xml:space="preserve">compulsivity</w:t>
      </w:r>
      <w:r>
        <w:t xml:space="preserve">, and</w:t>
      </w:r>
      <w:r>
        <w:t xml:space="preserve"> </w:t>
      </w:r>
      <w:r>
        <w:rPr>
          <w:rStyle w:val="VerbatimChar"/>
        </w:rPr>
        <w:t xml:space="preserve">social_withdrawal</w:t>
      </w:r>
      <w:r>
        <w:t xml:space="preserve"> </w:t>
      </w:r>
      <w:r>
        <w:t xml:space="preserve">are the psychiatric indices generated from factor analysis</w:t>
      </w:r>
      <w:r>
        <w:t xml:space="preserve"> </w:t>
      </w:r>
      <w:r>
        <w:t xml:space="preserve">(see</w:t>
      </w:r>
      <w:r>
        <w:t xml:space="preserve"> </w:t>
      </w:r>
      <w:hyperlink w:anchor="ref-rouault2018">
        <w:r>
          <w:rPr>
            <w:rStyle w:val="Hyperlink"/>
          </w:rPr>
          <w:t xml:space="preserve">Rouault et al., 2018</w:t>
        </w:r>
      </w:hyperlink>
      <w:r>
        <w:t xml:space="preserve"> </w:t>
      </w:r>
      <w:r>
        <w:t xml:space="preserve">for more information)</w:t>
      </w:r>
      <w:r>
        <w:t xml:space="preserve">.</w:t>
      </w:r>
    </w:p>
    <w:p>
      <w:pPr>
        <w:pStyle w:val="BodyText"/>
      </w:pPr>
      <w:r>
        <w:t xml:space="preserve">To increase the efficiency of model fitting,</w:t>
      </w:r>
      <w:r>
        <w:t xml:space="preserve"> </w:t>
      </w:r>
      <w:r>
        <w:rPr>
          <w:rStyle w:val="VerbatimChar"/>
        </w:rPr>
        <w:t xml:space="preserve">hmetad</w:t>
      </w:r>
      <w:r>
        <w:t xml:space="preserve"> </w:t>
      </w:r>
      <w:r>
        <w:t xml:space="preserve">fits the</w:t>
      </w:r>
      <w:r>
        <w:t xml:space="preserve"> </w:t>
      </w:r>
      <m:oMath>
        <m:r>
          <m:rPr>
            <m:nor/>
            <m:sty m:val="p"/>
          </m:rPr>
          <m:t>meta-</m:t>
        </m:r>
        <m:sSup>
          <m:e>
            <m:r>
              <m:t>d</m:t>
            </m:r>
          </m:e>
          <m:sup>
            <m:r>
              <m:rPr>
                <m:sty m:val="p"/>
              </m:rPr>
              <m:t>′</m:t>
            </m:r>
          </m:sup>
        </m:sSup>
      </m:oMath>
      <w:r>
        <w:t xml:space="preserve"> </w:t>
      </w:r>
      <w:r>
        <w:t xml:space="preserve">model on aggregated data rather than this trial-level data. In practice,</w:t>
      </w:r>
      <w:r>
        <w:t xml:space="preserve"> </w:t>
      </w:r>
      <w:r>
        <w:rPr>
          <w:rStyle w:val="VerbatimChar"/>
        </w:rPr>
        <w:t xml:space="preserve">hmetad</w:t>
      </w:r>
      <w:r>
        <w:t xml:space="preserve"> </w:t>
      </w:r>
      <w:r>
        <w:t xml:space="preserve">automatically generates this aggregated data set internally based on the provided model formula, so users are not required to aggregate their own data. Nevertheless, if we would like, we can manually aggregate the data using the function</w:t>
      </w:r>
      <w:r>
        <w:t xml:space="preserve"> </w:t>
      </w:r>
      <w:r>
        <w:rPr>
          <w:rStyle w:val="VerbatimChar"/>
        </w:rPr>
        <w:t xml:space="preserve">aggregate_metad(d, ...)</w:t>
      </w:r>
      <w:r>
        <w:t xml:space="preserve">, where</w:t>
      </w:r>
      <w:r>
        <w:t xml:space="preserve"> </w:t>
      </w:r>
      <w:r>
        <w:rPr>
          <w:rStyle w:val="VerbatimChar"/>
        </w:rPr>
        <w:t xml:space="preserve">...</w:t>
      </w:r>
      <w:r>
        <w:t xml:space="preserve"> </w:t>
      </w:r>
      <w:r>
        <w:t xml:space="preserve">are grouping columns by which to aggregate. By default, this function assumes that</w:t>
      </w:r>
      <w:r>
        <w:t xml:space="preserve"> </w:t>
      </w:r>
      <w:r>
        <w:rPr>
          <w:rStyle w:val="VerbatimChar"/>
        </w:rPr>
        <w:t xml:space="preserve">d</w:t>
      </w:r>
      <w:r>
        <w:t xml:space="preserve"> </w:t>
      </w:r>
      <w:r>
        <w:t xml:space="preserve">has a column named</w:t>
      </w:r>
      <w:r>
        <w:t xml:space="preserve"> </w:t>
      </w:r>
      <w:r>
        <w:rPr>
          <w:rStyle w:val="VerbatimChar"/>
        </w:rPr>
        <w:t xml:space="preserve">stimulus</w:t>
      </w:r>
      <w:r>
        <w:t xml:space="preserve"> </w:t>
      </w:r>
      <w:r>
        <w:t xml:space="preserve">and either separate columns named</w:t>
      </w:r>
      <w:r>
        <w:t xml:space="preserve"> </w:t>
      </w:r>
      <w:r>
        <w:rPr>
          <w:rStyle w:val="VerbatimChar"/>
        </w:rPr>
        <w:t xml:space="preserve">response</w:t>
      </w:r>
      <w:r>
        <w:t xml:space="preserve"> </w:t>
      </w:r>
      <w:r>
        <w:t xml:space="preserve">and</w:t>
      </w:r>
      <w:r>
        <w:t xml:space="preserve"> </w:t>
      </w:r>
      <w:r>
        <w:rPr>
          <w:rStyle w:val="VerbatimChar"/>
        </w:rPr>
        <w:t xml:space="preserve">confidence</w:t>
      </w:r>
      <w:r>
        <w:t xml:space="preserve"> </w:t>
      </w:r>
      <w:r>
        <w:t xml:space="preserve">or a single</w:t>
      </w:r>
      <w:r>
        <w:t xml:space="preserve"> </w:t>
      </w:r>
      <w:r>
        <w:rPr>
          <w:rStyle w:val="VerbatimChar"/>
        </w:rPr>
        <w:t xml:space="preserve">joint_response</w:t>
      </w:r>
      <w:r>
        <w:t xml:space="preserve"> </w:t>
      </w:r>
      <w:r>
        <w:t xml:space="preserve">column. Since our data has the more informative column names</w:t>
      </w:r>
      <w:r>
        <w:t xml:space="preserve"> </w:t>
      </w:r>
      <w:r>
        <w:rPr>
          <w:rStyle w:val="VerbatimChar"/>
        </w:rPr>
        <w:t xml:space="preserve">stimulus_left</w:t>
      </w:r>
      <w:r>
        <w:t xml:space="preserve"> </w:t>
      </w:r>
      <w:r>
        <w:t xml:space="preserve">and</w:t>
      </w:r>
      <w:r>
        <w:t xml:space="preserve"> </w:t>
      </w:r>
      <w:r>
        <w:rPr>
          <w:rStyle w:val="VerbatimChar"/>
        </w:rPr>
        <w:t xml:space="preserve">response_left</w:t>
      </w:r>
      <w:r>
        <w:t xml:space="preserve">, we can indicate this using the optional arguments</w:t>
      </w:r>
      <w:r>
        <w:t xml:space="preserve"> </w:t>
      </w:r>
      <w:r>
        <w:rPr>
          <w:rStyle w:val="VerbatimChar"/>
        </w:rPr>
        <w:t xml:space="preserve">.stimulus</w:t>
      </w:r>
      <w:r>
        <w:t xml:space="preserve"> </w:t>
      </w:r>
      <w:r>
        <w:t xml:space="preserve">and</w:t>
      </w:r>
      <w:r>
        <w:t xml:space="preserve"> </w:t>
      </w:r>
      <w:r>
        <w:rPr>
          <w:rStyle w:val="VerbatimChar"/>
        </w:rPr>
        <w:t xml:space="preserve">.response</w:t>
      </w:r>
      <w:r>
        <w:t xml:space="preserve">. For instance, we can aggregate the data separately for each participant like so:</w:t>
      </w:r>
    </w:p>
    <w:p>
      <w:pPr>
        <w:pStyle w:val="SourceCode"/>
      </w:pPr>
      <w:r>
        <w:rPr>
          <w:rStyle w:val="FunctionTok"/>
        </w:rPr>
        <w:t xml:space="preserve">aggregate_metad</w:t>
      </w:r>
      <w:r>
        <w:rPr>
          <w:rStyle w:val="NormalTok"/>
        </w:rPr>
        <w:t xml:space="preserve">(</w:t>
      </w:r>
      <w:r>
        <w:br/>
      </w:r>
      <w:r>
        <w:rPr>
          <w:rStyle w:val="NormalTok"/>
        </w:rPr>
        <w:t xml:space="preserve">  d, participant,</w:t>
      </w:r>
      <w:r>
        <w:br/>
      </w:r>
      <w:r>
        <w:rPr>
          <w:rStyle w:val="NormalTok"/>
        </w:rPr>
        <w:t xml:space="preserve">  </w:t>
      </w:r>
      <w:r>
        <w:rPr>
          <w:rStyle w:val="AttributeTok"/>
        </w:rPr>
        <w:t xml:space="preserve">.stimulus =</w:t>
      </w:r>
      <w:r>
        <w:rPr>
          <w:rStyle w:val="NormalTok"/>
        </w:rPr>
        <w:t xml:space="preserve"> </w:t>
      </w:r>
      <w:r>
        <w:rPr>
          <w:rStyle w:val="StringTok"/>
        </w:rPr>
        <w:t xml:space="preserve">"stimulus_left"</w:t>
      </w:r>
      <w:r>
        <w:rPr>
          <w:rStyle w:val="NormalTok"/>
        </w:rPr>
        <w:t xml:space="preserve">, </w:t>
      </w:r>
      <w:r>
        <w:rPr>
          <w:rStyle w:val="AttributeTok"/>
        </w:rPr>
        <w:t xml:space="preserve">.response =</w:t>
      </w:r>
      <w:r>
        <w:rPr>
          <w:rStyle w:val="NormalTok"/>
        </w:rPr>
        <w:t xml:space="preserve"> </w:t>
      </w:r>
      <w:r>
        <w:rPr>
          <w:rStyle w:val="StringTok"/>
        </w:rPr>
        <w:t xml:space="preserve">"response_left"</w:t>
      </w:r>
      <w:r>
        <w:br/>
      </w:r>
      <w:r>
        <w:rPr>
          <w:rStyle w:val="NormalTok"/>
        </w:rPr>
        <w:t xml:space="preserve">)</w:t>
      </w:r>
    </w:p>
    <w:p>
      <w:pPr>
        <w:pStyle w:val="SourceCode"/>
      </w:pPr>
      <w:r>
        <w:rPr>
          <w:rStyle w:val="VerbatimChar"/>
        </w:rPr>
        <w:t xml:space="preserve"># A tibble: 497 × 4</w:t>
      </w:r>
      <w:r>
        <w:br/>
      </w:r>
      <w:r>
        <w:rPr>
          <w:rStyle w:val="VerbatimChar"/>
        </w:rPr>
        <w:t xml:space="preserve">   participant   N_0   N_1 N[,"N_0_1"] [,"N_0_2"] [,"N_0_3"] [,"N_0_4"]</w:t>
      </w:r>
      <w:r>
        <w:br/>
      </w:r>
      <w:r>
        <w:rPr>
          <w:rStyle w:val="VerbatimChar"/>
        </w:rPr>
        <w:t xml:space="preserve">   &lt;fct&gt;       &lt;int&gt; &lt;int&gt;       &lt;int&gt;      &lt;int&gt;      &lt;int&gt;      &lt;int&gt;</w:t>
      </w:r>
      <w:r>
        <w:br/>
      </w:r>
      <w:r>
        <w:rPr>
          <w:rStyle w:val="VerbatimChar"/>
        </w:rPr>
        <w:t xml:space="preserve"> 1 1015841        75   134           0         17         30          5</w:t>
      </w:r>
      <w:r>
        <w:br/>
      </w:r>
      <w:r>
        <w:rPr>
          <w:rStyle w:val="VerbatimChar"/>
        </w:rPr>
        <w:t xml:space="preserve"> 2 1030622       103   104           0          0          1          1</w:t>
      </w:r>
      <w:r>
        <w:br/>
      </w:r>
      <w:r>
        <w:rPr>
          <w:rStyle w:val="VerbatimChar"/>
        </w:rPr>
        <w:t xml:space="preserve"> 3 1103437       108   100           8         12         14         13</w:t>
      </w:r>
      <w:r>
        <w:br/>
      </w:r>
      <w:r>
        <w:rPr>
          <w:rStyle w:val="VerbatimChar"/>
        </w:rPr>
        <w:t xml:space="preserve"> 4 1144714       118    88           0         20         45         13</w:t>
      </w:r>
      <w:r>
        <w:br/>
      </w:r>
      <w:r>
        <w:rPr>
          <w:rStyle w:val="VerbatimChar"/>
        </w:rPr>
        <w:t xml:space="preserve"> 5 1149809        90   117          18         24         24         13</w:t>
      </w:r>
      <w:r>
        <w:br/>
      </w:r>
      <w:r>
        <w:rPr>
          <w:rStyle w:val="VerbatimChar"/>
        </w:rPr>
        <w:t xml:space="preserve"> 6 1171324       129    80           7         26         27         18</w:t>
      </w:r>
      <w:r>
        <w:br/>
      </w:r>
      <w:r>
        <w:rPr>
          <w:rStyle w:val="VerbatimChar"/>
        </w:rPr>
        <w:t xml:space="preserve"> 7 1202074       104   103           0          1         12         30</w:t>
      </w:r>
      <w:r>
        <w:br/>
      </w:r>
      <w:r>
        <w:rPr>
          <w:rStyle w:val="VerbatimChar"/>
        </w:rPr>
        <w:t xml:space="preserve"> 8 1211330       111    78          20         11          7         20</w:t>
      </w:r>
      <w:r>
        <w:br/>
      </w:r>
      <w:r>
        <w:rPr>
          <w:rStyle w:val="VerbatimChar"/>
        </w:rPr>
        <w:t xml:space="preserve"> 9 1218685        90   119           0          0          3         48</w:t>
      </w:r>
      <w:r>
        <w:br/>
      </w:r>
      <w:r>
        <w:rPr>
          <w:rStyle w:val="VerbatimChar"/>
        </w:rPr>
        <w:t xml:space="preserve">10 1234928        90   118           1         15         24          6</w:t>
      </w:r>
      <w:r>
        <w:br/>
      </w:r>
      <w:r>
        <w:rPr>
          <w:rStyle w:val="VerbatimChar"/>
        </w:rPr>
        <w:t xml:space="preserve"># ℹ 487 more rows</w:t>
      </w:r>
      <w:r>
        <w:br/>
      </w:r>
      <w:r>
        <w:rPr>
          <w:rStyle w:val="VerbatimChar"/>
        </w:rPr>
        <w:t xml:space="preserve"># ℹ 1 more variable: N[5:24] &lt;int&gt;</w:t>
      </w:r>
    </w:p>
    <w:p>
      <w:pPr>
        <w:pStyle w:val="FirstParagraph"/>
      </w:pPr>
      <w:r>
        <w:t xml:space="preserve">Instead of one row per trial, this aggregated data set has only 497 rows (one row per participant). Here, the</w:t>
      </w:r>
      <w:r>
        <w:t xml:space="preserve"> </w:t>
      </w:r>
      <w:r>
        <w:rPr>
          <w:rStyle w:val="VerbatimChar"/>
        </w:rPr>
        <w:t xml:space="preserve">N_0</w:t>
      </w:r>
      <w:r>
        <w:t xml:space="preserve"> </w:t>
      </w:r>
      <w:r>
        <w:t xml:space="preserve">and</w:t>
      </w:r>
      <w:r>
        <w:t xml:space="preserve"> </w:t>
      </w:r>
      <w:r>
        <w:rPr>
          <w:rStyle w:val="VerbatimChar"/>
        </w:rPr>
        <w:t xml:space="preserve">N_1</w:t>
      </w:r>
      <w:r>
        <w:t xml:space="preserve"> </w:t>
      </w:r>
      <w:r>
        <w:t xml:space="preserve">columns represent the number of trials where</w:t>
      </w:r>
      <w:r>
        <w:t xml:space="preserve"> </w:t>
      </w:r>
      <w:r>
        <w:rPr>
          <w:rStyle w:val="VerbatimChar"/>
        </w:rPr>
        <w:t xml:space="preserve">stimulus_left==0</w:t>
      </w:r>
      <w:r>
        <w:t xml:space="preserve"> </w:t>
      </w:r>
      <w:r>
        <w:t xml:space="preserve">and</w:t>
      </w:r>
      <w:r>
        <w:t xml:space="preserve"> </w:t>
      </w:r>
      <w:r>
        <w:rPr>
          <w:rStyle w:val="VerbatimChar"/>
        </w:rPr>
        <w:t xml:space="preserve">stimulus_left==1</w:t>
      </w:r>
      <w:r>
        <w:t xml:space="preserve">, respectively, and the</w:t>
      </w:r>
      <w:r>
        <w:t xml:space="preserve"> </w:t>
      </w:r>
      <w:r>
        <w:rPr>
          <w:rStyle w:val="VerbatimChar"/>
        </w:rPr>
        <w:t xml:space="preserve">N</w:t>
      </w:r>
      <w:r>
        <w:t xml:space="preserve"> </w:t>
      </w:r>
      <w:r>
        <w:t xml:space="preserve">column is a matrix containing the joint distribution of stimuli, Type I responses, and Type II responses. Its sub-columns are named with the pattern</w:t>
      </w:r>
      <w:r>
        <w:t xml:space="preserve"> </w:t>
      </w:r>
      <w:r>
        <w:rPr>
          <w:rStyle w:val="VerbatimChar"/>
        </w:rPr>
        <w:t xml:space="preserve">N_&lt;stimulus&gt;_&lt;joint_response&gt;</w:t>
      </w:r>
      <w:r>
        <w:t xml:space="preserve">, such that</w:t>
      </w:r>
      <w:r>
        <w:t xml:space="preserve"> </w:t>
      </w:r>
      <w:r>
        <w:rPr>
          <w:rStyle w:val="VerbatimChar"/>
        </w:rPr>
        <w:t xml:space="preserve">N_0_1</w:t>
      </w:r>
      <w:r>
        <w:t xml:space="preserve"> </w:t>
      </w:r>
      <w:r>
        <w:t xml:space="preserve">contains the number of trials with</w:t>
      </w:r>
      <w:r>
        <w:t xml:space="preserve"> </w:t>
      </w:r>
      <w:r>
        <w:rPr>
          <w:rStyle w:val="VerbatimChar"/>
        </w:rPr>
        <w:t xml:space="preserve">stimulus==0</w:t>
      </w:r>
      <w:r>
        <w:t xml:space="preserve"> </w:t>
      </w:r>
      <w:r>
        <w:t xml:space="preserve">and</w:t>
      </w:r>
      <w:r>
        <w:t xml:space="preserve"> </w:t>
      </w:r>
      <w:r>
        <w:rPr>
          <w:rStyle w:val="VerbatimChar"/>
        </w:rPr>
        <w:t xml:space="preserve">joint_response==1</w:t>
      </w:r>
      <w:r>
        <w:t xml:space="preserve"> </w:t>
      </w:r>
      <w:r>
        <w:t xml:space="preserve">(i.e.,</w:t>
      </w:r>
      <w:r>
        <w:t xml:space="preserve"> </w:t>
      </w:r>
      <w:r>
        <w:rPr>
          <w:rStyle w:val="VerbatimChar"/>
        </w:rPr>
        <w:t xml:space="preserve">response_left==0</w:t>
      </w:r>
      <w:r>
        <w:t xml:space="preserve"> </w:t>
      </w:r>
      <w:r>
        <w:t xml:space="preserve">and</w:t>
      </w:r>
      <w:r>
        <w:t xml:space="preserve"> </w:t>
      </w:r>
      <w:r>
        <w:rPr>
          <w:rStyle w:val="VerbatimChar"/>
        </w:rPr>
        <w:t xml:space="preserve">confidence==6</w:t>
      </w:r>
      <w:r>
        <w:t xml:space="preserve">) and</w:t>
      </w:r>
      <w:r>
        <w:t xml:space="preserve"> </w:t>
      </w:r>
      <w:r>
        <w:rPr>
          <w:rStyle w:val="VerbatimChar"/>
        </w:rPr>
        <w:t xml:space="preserve">N_1_7</w:t>
      </w:r>
      <w:r>
        <w:t xml:space="preserve"> </w:t>
      </w:r>
      <w:r>
        <w:t xml:space="preserve">contains the number of trials with</w:t>
      </w:r>
      <w:r>
        <w:t xml:space="preserve"> </w:t>
      </w:r>
      <w:r>
        <w:rPr>
          <w:rStyle w:val="VerbatimChar"/>
        </w:rPr>
        <w:t xml:space="preserve">stimulus==1</w:t>
      </w:r>
      <w:r>
        <w:t xml:space="preserve"> </w:t>
      </w:r>
      <w:r>
        <w:t xml:space="preserve">and</w:t>
      </w:r>
      <w:r>
        <w:t xml:space="preserve"> </w:t>
      </w:r>
      <w:r>
        <w:rPr>
          <w:rStyle w:val="VerbatimChar"/>
        </w:rPr>
        <w:t xml:space="preserve">joint_response==7</w:t>
      </w:r>
      <w:r>
        <w:t xml:space="preserve"> </w:t>
      </w:r>
      <w:r>
        <w:t xml:space="preserve">(i.e.,</w:t>
      </w:r>
      <w:r>
        <w:t xml:space="preserve"> </w:t>
      </w:r>
      <w:r>
        <w:rPr>
          <w:rStyle w:val="VerbatimChar"/>
        </w:rPr>
        <w:t xml:space="preserve">response_left==1</w:t>
      </w:r>
      <w:r>
        <w:t xml:space="preserve"> </w:t>
      </w:r>
      <w:r>
        <w:t xml:space="preserve">and</w:t>
      </w:r>
      <w:r>
        <w:t xml:space="preserve"> </w:t>
      </w:r>
      <w:r>
        <w:rPr>
          <w:rStyle w:val="VerbatimChar"/>
        </w:rPr>
        <w:t xml:space="preserve">confidence==1</w:t>
      </w:r>
      <w:r>
        <w:t xml:space="preserve">).</w:t>
      </w:r>
    </w:p>
    <w:p>
      <w:pPr>
        <w:pStyle w:val="BodyText"/>
      </w:pPr>
      <w:r>
        <w:t xml:space="preserve">We are free to add any other grouping columns for data aggregation. Since we will be using anxious-depression as a predictor, for example, we can include it like so:</w:t>
      </w:r>
    </w:p>
    <w:p>
      <w:pPr>
        <w:pStyle w:val="SourceCode"/>
      </w:pPr>
      <w:r>
        <w:rPr>
          <w:rStyle w:val="FunctionTok"/>
        </w:rPr>
        <w:t xml:space="preserve">aggregate_metad</w:t>
      </w:r>
      <w:r>
        <w:rPr>
          <w:rStyle w:val="NormalTok"/>
        </w:rPr>
        <w:t xml:space="preserve">(</w:t>
      </w:r>
      <w:r>
        <w:br/>
      </w:r>
      <w:r>
        <w:rPr>
          <w:rStyle w:val="NormalTok"/>
        </w:rPr>
        <w:t xml:space="preserve">  d, participant, anxious_depression,</w:t>
      </w:r>
      <w:r>
        <w:br/>
      </w:r>
      <w:r>
        <w:rPr>
          <w:rStyle w:val="NormalTok"/>
        </w:rPr>
        <w:t xml:space="preserve">  </w:t>
      </w:r>
      <w:r>
        <w:rPr>
          <w:rStyle w:val="AttributeTok"/>
        </w:rPr>
        <w:t xml:space="preserve">.stimulus =</w:t>
      </w:r>
      <w:r>
        <w:rPr>
          <w:rStyle w:val="NormalTok"/>
        </w:rPr>
        <w:t xml:space="preserve"> </w:t>
      </w:r>
      <w:r>
        <w:rPr>
          <w:rStyle w:val="StringTok"/>
        </w:rPr>
        <w:t xml:space="preserve">"stimulus_left"</w:t>
      </w:r>
      <w:r>
        <w:rPr>
          <w:rStyle w:val="NormalTok"/>
        </w:rPr>
        <w:t xml:space="preserve">, </w:t>
      </w:r>
      <w:r>
        <w:rPr>
          <w:rStyle w:val="AttributeTok"/>
        </w:rPr>
        <w:t xml:space="preserve">.response =</w:t>
      </w:r>
      <w:r>
        <w:rPr>
          <w:rStyle w:val="NormalTok"/>
        </w:rPr>
        <w:t xml:space="preserve"> </w:t>
      </w:r>
      <w:r>
        <w:rPr>
          <w:rStyle w:val="StringTok"/>
        </w:rPr>
        <w:t xml:space="preserve">"response_left"</w:t>
      </w:r>
      <w:r>
        <w:br/>
      </w:r>
      <w:r>
        <w:rPr>
          <w:rStyle w:val="NormalTok"/>
        </w:rPr>
        <w:t xml:space="preserve">)</w:t>
      </w:r>
    </w:p>
    <w:p>
      <w:pPr>
        <w:pStyle w:val="SourceCode"/>
      </w:pPr>
      <w:r>
        <w:rPr>
          <w:rStyle w:val="VerbatimChar"/>
        </w:rPr>
        <w:t xml:space="preserve"># A tibble: 497 × 5</w:t>
      </w:r>
      <w:r>
        <w:br/>
      </w:r>
      <w:r>
        <w:rPr>
          <w:rStyle w:val="VerbatimChar"/>
        </w:rPr>
        <w:t xml:space="preserve">   participant anxious_depression   N_0   N_1 N[,"N_0_1"] [,"N_0_2"] [,"N_0_3"]</w:t>
      </w:r>
      <w:r>
        <w:br/>
      </w:r>
      <w:r>
        <w:rPr>
          <w:rStyle w:val="VerbatimChar"/>
        </w:rPr>
        <w:t xml:space="preserve">   &lt;fct&gt;                    &lt;dbl&gt; &lt;int&gt; &lt;int&gt;       &lt;int&gt;      &lt;int&gt;      &lt;int&gt;</w:t>
      </w:r>
      <w:r>
        <w:br/>
      </w:r>
      <w:r>
        <w:rPr>
          <w:rStyle w:val="VerbatimChar"/>
        </w:rPr>
        <w:t xml:space="preserve"> 1 1015841                 -0.126    75   134           0         17         30</w:t>
      </w:r>
      <w:r>
        <w:br/>
      </w:r>
      <w:r>
        <w:rPr>
          <w:rStyle w:val="VerbatimChar"/>
        </w:rPr>
        <w:t xml:space="preserve"> 2 1030622                 -1.31    103   104           0          0          1</w:t>
      </w:r>
      <w:r>
        <w:br/>
      </w:r>
      <w:r>
        <w:rPr>
          <w:rStyle w:val="VerbatimChar"/>
        </w:rPr>
        <w:t xml:space="preserve"> 3 1103437                 -1.01    108   100           8         12         14</w:t>
      </w:r>
      <w:r>
        <w:br/>
      </w:r>
      <w:r>
        <w:rPr>
          <w:rStyle w:val="VerbatimChar"/>
        </w:rPr>
        <w:t xml:space="preserve"> 4 1144714                  0.631   118    88           0         20         45</w:t>
      </w:r>
      <w:r>
        <w:br/>
      </w:r>
      <w:r>
        <w:rPr>
          <w:rStyle w:val="VerbatimChar"/>
        </w:rPr>
        <w:t xml:space="preserve"> 5 1149809                 -0.759    90   117          18         24         24</w:t>
      </w:r>
      <w:r>
        <w:br/>
      </w:r>
      <w:r>
        <w:rPr>
          <w:rStyle w:val="VerbatimChar"/>
        </w:rPr>
        <w:t xml:space="preserve"> 6 1171324                  0.164   129    80           7         26         27</w:t>
      </w:r>
      <w:r>
        <w:br/>
      </w:r>
      <w:r>
        <w:rPr>
          <w:rStyle w:val="VerbatimChar"/>
        </w:rPr>
        <w:t xml:space="preserve"> 7 1202074                  1.49    104   103           0          1         12</w:t>
      </w:r>
      <w:r>
        <w:br/>
      </w:r>
      <w:r>
        <w:rPr>
          <w:rStyle w:val="VerbatimChar"/>
        </w:rPr>
        <w:t xml:space="preserve"> 8 1211330                 -1.27    111    78          20         11          7</w:t>
      </w:r>
      <w:r>
        <w:br/>
      </w:r>
      <w:r>
        <w:rPr>
          <w:rStyle w:val="VerbatimChar"/>
        </w:rPr>
        <w:t xml:space="preserve"> 9 1218685                 -0.308    90   119           0          0          3</w:t>
      </w:r>
      <w:r>
        <w:br/>
      </w:r>
      <w:r>
        <w:rPr>
          <w:rStyle w:val="VerbatimChar"/>
        </w:rPr>
        <w:t xml:space="preserve">10 1234928                  0.802    90   118           1         15         24</w:t>
      </w:r>
      <w:r>
        <w:br/>
      </w:r>
      <w:r>
        <w:rPr>
          <w:rStyle w:val="VerbatimChar"/>
        </w:rPr>
        <w:t xml:space="preserve"># ℹ 487 more rows</w:t>
      </w:r>
      <w:r>
        <w:br/>
      </w:r>
      <w:r>
        <w:rPr>
          <w:rStyle w:val="VerbatimChar"/>
        </w:rPr>
        <w:t xml:space="preserve"># ℹ 1 more variable: N[4:24] &lt;int&gt;</w:t>
      </w:r>
    </w:p>
    <w:p>
      <w:pPr>
        <w:pStyle w:val="Heading4"/>
        <w:rPr>
          <w:vanish/>
          <w:specVanish/>
        </w:rPr>
      </w:pPr>
      <w:r>
        <w:t>Empirical quantities.</w:t>
      </w:r>
      <w:r>
        <w:t xml:space="preserve"> </w:t>
      </w:r>
    </w:p>
    <w:p>
      <w:pPr>
        <w:pStyle w:val="FirstParagraph"/>
      </w:pPr>
      <w:r>
        <w:t xml:space="preserve">The</w:t>
      </w:r>
      <w:r>
        <w:t xml:space="preserve"> </w:t>
      </w:r>
      <w:r>
        <w:rPr>
          <w:rStyle w:val="VerbatimChar"/>
        </w:rPr>
        <w:t xml:space="preserve">aggregate_metad</w:t>
      </w:r>
      <w:r>
        <w:t xml:space="preserve"> </w:t>
      </w:r>
      <w:r>
        <w:t xml:space="preserve">function converts the data into a format that is useful for model fitting, but this format is rather inconvenient for other purposes like plotting and computation of response probabilities. So, the</w:t>
      </w:r>
      <w:r>
        <w:t xml:space="preserve"> </w:t>
      </w:r>
      <w:r>
        <w:rPr>
          <w:rStyle w:val="VerbatimChar"/>
        </w:rPr>
        <w:t xml:space="preserve">hmetad</w:t>
      </w:r>
      <w:r>
        <w:t xml:space="preserve"> </w:t>
      </w:r>
      <w:r>
        <w:t xml:space="preserve">package provides several functions to compute data-driven measures relevant to metacognition researchers, all of which share the same basic interface as</w:t>
      </w:r>
      <w:r>
        <w:t xml:space="preserve"> </w:t>
      </w:r>
      <w:r>
        <w:rPr>
          <w:rStyle w:val="VerbatimChar"/>
        </w:rPr>
        <w:t xml:space="preserve">aggregate_metad</w:t>
      </w:r>
      <w:r>
        <w:t xml:space="preserve">. To compute the Type II response probabilities per participant, for instance, we can use the function</w:t>
      </w:r>
      <w:r>
        <w:t xml:space="preserve"> </w:t>
      </w:r>
      <w:r>
        <w:rPr>
          <w:rStyle w:val="VerbatimChar"/>
        </w:rPr>
        <w:t xml:space="preserve">type2_probabilities</w:t>
      </w:r>
      <w:r>
        <w:t xml:space="preserve">:</w:t>
      </w:r>
    </w:p>
    <w:p>
      <w:pPr>
        <w:pStyle w:val="SourceCode"/>
      </w:pPr>
      <w:r>
        <w:rPr>
          <w:rStyle w:val="FunctionTok"/>
        </w:rPr>
        <w:t xml:space="preserve">type2_probabilities</w:t>
      </w:r>
      <w:r>
        <w:rPr>
          <w:rStyle w:val="NormalTok"/>
        </w:rPr>
        <w:t xml:space="preserve">(</w:t>
      </w:r>
      <w:r>
        <w:br/>
      </w:r>
      <w:r>
        <w:rPr>
          <w:rStyle w:val="NormalTok"/>
        </w:rPr>
        <w:t xml:space="preserve">  d, participant, anxious_depression,</w:t>
      </w:r>
      <w:r>
        <w:br/>
      </w:r>
      <w:r>
        <w:rPr>
          <w:rStyle w:val="NormalTok"/>
        </w:rPr>
        <w:t xml:space="preserve">  </w:t>
      </w:r>
      <w:r>
        <w:rPr>
          <w:rStyle w:val="AttributeTok"/>
        </w:rPr>
        <w:t xml:space="preserve">.stimulus =</w:t>
      </w:r>
      <w:r>
        <w:rPr>
          <w:rStyle w:val="NormalTok"/>
        </w:rPr>
        <w:t xml:space="preserve"> </w:t>
      </w:r>
      <w:r>
        <w:rPr>
          <w:rStyle w:val="StringTok"/>
        </w:rPr>
        <w:t xml:space="preserve">"stimulus_left"</w:t>
      </w:r>
      <w:r>
        <w:rPr>
          <w:rStyle w:val="NormalTok"/>
        </w:rPr>
        <w:t xml:space="preserve">, </w:t>
      </w:r>
      <w:r>
        <w:rPr>
          <w:rStyle w:val="AttributeTok"/>
        </w:rPr>
        <w:t xml:space="preserve">.response =</w:t>
      </w:r>
      <w:r>
        <w:rPr>
          <w:rStyle w:val="NormalTok"/>
        </w:rPr>
        <w:t xml:space="preserve"> </w:t>
      </w:r>
      <w:r>
        <w:rPr>
          <w:rStyle w:val="StringTok"/>
        </w:rPr>
        <w:t xml:space="preserve">"response_left"</w:t>
      </w:r>
      <w:r>
        <w:br/>
      </w:r>
      <w:r>
        <w:rPr>
          <w:rStyle w:val="NormalTok"/>
        </w:rPr>
        <w:t xml:space="preserve">)</w:t>
      </w:r>
    </w:p>
    <w:p>
      <w:pPr>
        <w:pStyle w:val="SourceCode"/>
      </w:pPr>
      <w:r>
        <w:rPr>
          <w:rStyle w:val="VerbatimChar"/>
        </w:rPr>
        <w:t xml:space="preserve"># A tibble: 11,928 × 8</w:t>
      </w:r>
      <w:r>
        <w:br/>
      </w:r>
      <w:r>
        <w:rPr>
          <w:rStyle w:val="VerbatimChar"/>
        </w:rPr>
        <w:t xml:space="preserve"># Groups:   participant, anxious_depression, stimulus_left, response_left</w:t>
      </w:r>
      <w:r>
        <w:br/>
      </w:r>
      <w:r>
        <w:rPr>
          <w:rStyle w:val="VerbatimChar"/>
        </w:rPr>
        <w:t xml:space="preserve">#   [1,988]</w:t>
      </w:r>
      <w:r>
        <w:br/>
      </w:r>
      <w:r>
        <w:rPr>
          <w:rStyle w:val="VerbatimChar"/>
        </w:rPr>
        <w:t xml:space="preserve">   participant anxious_depression stimulus_left response_left confidence</w:t>
      </w:r>
      <w:r>
        <w:br/>
      </w:r>
      <w:r>
        <w:rPr>
          <w:rStyle w:val="VerbatimChar"/>
        </w:rPr>
        <w:t xml:space="preserve">   &lt;fct&gt;                    &lt;dbl&gt;         &lt;int&gt;         &lt;int&gt;      &lt;int&gt;</w:t>
      </w:r>
      <w:r>
        <w:br/>
      </w:r>
      <w:r>
        <w:rPr>
          <w:rStyle w:val="VerbatimChar"/>
        </w:rPr>
        <w:t xml:space="preserve"> 1 1015841                 -0.126             0             0          1</w:t>
      </w:r>
      <w:r>
        <w:br/>
      </w:r>
      <w:r>
        <w:rPr>
          <w:rStyle w:val="VerbatimChar"/>
        </w:rPr>
        <w:t xml:space="preserve"> 2 1015841                 -0.126             0             0          2</w:t>
      </w:r>
      <w:r>
        <w:br/>
      </w:r>
      <w:r>
        <w:rPr>
          <w:rStyle w:val="VerbatimChar"/>
        </w:rPr>
        <w:t xml:space="preserve"> 3 1015841                 -0.126             0             0          3</w:t>
      </w:r>
      <w:r>
        <w:br/>
      </w:r>
      <w:r>
        <w:rPr>
          <w:rStyle w:val="VerbatimChar"/>
        </w:rPr>
        <w:t xml:space="preserve"> 4 1015841                 -0.126             0             0          4</w:t>
      </w:r>
      <w:r>
        <w:br/>
      </w:r>
      <w:r>
        <w:rPr>
          <w:rStyle w:val="VerbatimChar"/>
        </w:rPr>
        <w:t xml:space="preserve"> 5 1015841                 -0.126             0             0          5</w:t>
      </w:r>
      <w:r>
        <w:br/>
      </w:r>
      <w:r>
        <w:rPr>
          <w:rStyle w:val="VerbatimChar"/>
        </w:rPr>
        <w:t xml:space="preserve"> 6 1015841                 -0.126             0             0          6</w:t>
      </w:r>
      <w:r>
        <w:br/>
      </w:r>
      <w:r>
        <w:rPr>
          <w:rStyle w:val="VerbatimChar"/>
        </w:rPr>
        <w:t xml:space="preserve"> 7 1015841                 -0.126             0             1          1</w:t>
      </w:r>
      <w:r>
        <w:br/>
      </w:r>
      <w:r>
        <w:rPr>
          <w:rStyle w:val="VerbatimChar"/>
        </w:rPr>
        <w:t xml:space="preserve"> 8 1015841                 -0.126             0             1          2</w:t>
      </w:r>
      <w:r>
        <w:br/>
      </w:r>
      <w:r>
        <w:rPr>
          <w:rStyle w:val="VerbatimChar"/>
        </w:rPr>
        <w:t xml:space="preserve"> 9 1015841                 -0.126             0             1          3</w:t>
      </w:r>
      <w:r>
        <w:br/>
      </w:r>
      <w:r>
        <w:rPr>
          <w:rStyle w:val="VerbatimChar"/>
        </w:rPr>
        <w:t xml:space="preserve">10 1015841                 -0.126             0             1          4</w:t>
      </w:r>
      <w:r>
        <w:br/>
      </w:r>
      <w:r>
        <w:rPr>
          <w:rStyle w:val="VerbatimChar"/>
        </w:rPr>
        <w:t xml:space="preserve"># ℹ 11,918 more rows</w:t>
      </w:r>
      <w:r>
        <w:br/>
      </w:r>
      <w:r>
        <w:rPr>
          <w:rStyle w:val="VerbatimChar"/>
        </w:rPr>
        <w:t xml:space="preserve"># ℹ 3 more variables: joint_response &lt;int&gt;, n &lt;int&gt;, p &lt;dbl&gt;</w:t>
      </w:r>
    </w:p>
    <w:p>
      <w:pPr>
        <w:pStyle w:val="FirstParagraph"/>
      </w:pPr>
      <w:r>
        <w:t xml:space="preserve">We can compute the area under the Type II ROC (AUROC2) similarly:</w:t>
      </w:r>
    </w:p>
    <w:p>
      <w:pPr>
        <w:pStyle w:val="SourceCode"/>
      </w:pPr>
      <w:r>
        <w:rPr>
          <w:rStyle w:val="FunctionTok"/>
        </w:rPr>
        <w:t xml:space="preserve">auroc2</w:t>
      </w:r>
      <w:r>
        <w:rPr>
          <w:rStyle w:val="NormalTok"/>
        </w:rPr>
        <w:t xml:space="preserve">(</w:t>
      </w:r>
      <w:r>
        <w:br/>
      </w:r>
      <w:r>
        <w:rPr>
          <w:rStyle w:val="NormalTok"/>
        </w:rPr>
        <w:t xml:space="preserve">  d, participant, anxious_depression,</w:t>
      </w:r>
      <w:r>
        <w:br/>
      </w:r>
      <w:r>
        <w:rPr>
          <w:rStyle w:val="NormalTok"/>
        </w:rPr>
        <w:t xml:space="preserve">  </w:t>
      </w:r>
      <w:r>
        <w:rPr>
          <w:rStyle w:val="AttributeTok"/>
        </w:rPr>
        <w:t xml:space="preserve">.stimulus =</w:t>
      </w:r>
      <w:r>
        <w:rPr>
          <w:rStyle w:val="NormalTok"/>
        </w:rPr>
        <w:t xml:space="preserve"> </w:t>
      </w:r>
      <w:r>
        <w:rPr>
          <w:rStyle w:val="StringTok"/>
        </w:rPr>
        <w:t xml:space="preserve">"stimulus_left"</w:t>
      </w:r>
      <w:r>
        <w:rPr>
          <w:rStyle w:val="NormalTok"/>
        </w:rPr>
        <w:t xml:space="preserve">, </w:t>
      </w:r>
      <w:r>
        <w:rPr>
          <w:rStyle w:val="AttributeTok"/>
        </w:rPr>
        <w:t xml:space="preserve">.response =</w:t>
      </w:r>
      <w:r>
        <w:rPr>
          <w:rStyle w:val="NormalTok"/>
        </w:rPr>
        <w:t xml:space="preserve"> </w:t>
      </w:r>
      <w:r>
        <w:rPr>
          <w:rStyle w:val="StringTok"/>
        </w:rPr>
        <w:t xml:space="preserve">"response_left"</w:t>
      </w:r>
      <w:r>
        <w:br/>
      </w:r>
      <w:r>
        <w:rPr>
          <w:rStyle w:val="NormalTok"/>
        </w:rPr>
        <w:t xml:space="preserve">)</w:t>
      </w:r>
    </w:p>
    <w:p>
      <w:pPr>
        <w:pStyle w:val="SourceCode"/>
      </w:pPr>
      <w:r>
        <w:rPr>
          <w:rStyle w:val="VerbatimChar"/>
        </w:rPr>
        <w:t xml:space="preserve"># A tibble: 994 × 4</w:t>
      </w:r>
      <w:r>
        <w:br/>
      </w:r>
      <w:r>
        <w:rPr>
          <w:rStyle w:val="VerbatimChar"/>
        </w:rPr>
        <w:t xml:space="preserve"># Groups:   participant, anxious_depression [497]</w:t>
      </w:r>
      <w:r>
        <w:br/>
      </w:r>
      <w:r>
        <w:rPr>
          <w:rStyle w:val="VerbatimChar"/>
        </w:rPr>
        <w:t xml:space="preserve">   participant anxious_depression response_left auroc2</w:t>
      </w:r>
      <w:r>
        <w:br/>
      </w:r>
      <w:r>
        <w:rPr>
          <w:rStyle w:val="VerbatimChar"/>
        </w:rPr>
        <w:t xml:space="preserve">   &lt;fct&gt;                    &lt;dbl&gt;         &lt;int&gt;  &lt;dbl&gt;</w:t>
      </w:r>
      <w:r>
        <w:br/>
      </w:r>
      <w:r>
        <w:rPr>
          <w:rStyle w:val="VerbatimChar"/>
        </w:rPr>
        <w:t xml:space="preserve"> 1 1015841                 -0.126             0  0.630</w:t>
      </w:r>
      <w:r>
        <w:br/>
      </w:r>
      <w:r>
        <w:rPr>
          <w:rStyle w:val="VerbatimChar"/>
        </w:rPr>
        <w:t xml:space="preserve"> 2 1015841                 -0.126             1  0.712</w:t>
      </w:r>
      <w:r>
        <w:br/>
      </w:r>
      <w:r>
        <w:rPr>
          <w:rStyle w:val="VerbatimChar"/>
        </w:rPr>
        <w:t xml:space="preserve"> 3 1030622                 -1.31              0  0.568</w:t>
      </w:r>
      <w:r>
        <w:br/>
      </w:r>
      <w:r>
        <w:rPr>
          <w:rStyle w:val="VerbatimChar"/>
        </w:rPr>
        <w:t xml:space="preserve"> 4 1030622                 -1.31              1  0.610</w:t>
      </w:r>
      <w:r>
        <w:br/>
      </w:r>
      <w:r>
        <w:rPr>
          <w:rStyle w:val="VerbatimChar"/>
        </w:rPr>
        <w:t xml:space="preserve"> 5 1103437                 -1.01              0  0.671</w:t>
      </w:r>
      <w:r>
        <w:br/>
      </w:r>
      <w:r>
        <w:rPr>
          <w:rStyle w:val="VerbatimChar"/>
        </w:rPr>
        <w:t xml:space="preserve"> 6 1103437                 -1.01              1  0.861</w:t>
      </w:r>
      <w:r>
        <w:br/>
      </w:r>
      <w:r>
        <w:rPr>
          <w:rStyle w:val="VerbatimChar"/>
        </w:rPr>
        <w:t xml:space="preserve"> 7 1144714                  0.631             0  0.629</w:t>
      </w:r>
      <w:r>
        <w:br/>
      </w:r>
      <w:r>
        <w:rPr>
          <w:rStyle w:val="VerbatimChar"/>
        </w:rPr>
        <w:t xml:space="preserve"> 8 1144714                  0.631             1  0.609</w:t>
      </w:r>
      <w:r>
        <w:br/>
      </w:r>
      <w:r>
        <w:rPr>
          <w:rStyle w:val="VerbatimChar"/>
        </w:rPr>
        <w:t xml:space="preserve"> 9 1149809                 -0.759             0  0.762</w:t>
      </w:r>
      <w:r>
        <w:br/>
      </w:r>
      <w:r>
        <w:rPr>
          <w:rStyle w:val="VerbatimChar"/>
        </w:rPr>
        <w:t xml:space="preserve">10 1149809                 -0.759             1  0.593</w:t>
      </w:r>
      <w:r>
        <w:br/>
      </w:r>
      <w:r>
        <w:rPr>
          <w:rStyle w:val="VerbatimChar"/>
        </w:rPr>
        <w:t xml:space="preserve"># ℹ 984 more rows</w:t>
      </w:r>
    </w:p>
    <w:p>
      <w:pPr>
        <w:pStyle w:val="FirstParagraph"/>
      </w:pPr>
      <w:r>
        <w:t xml:space="preserve">As we demonstrate below, each of these functions has another corresponding function for extracting model estimates of the same quantities to facilitate comparison between the data and model predictions.</w:t>
      </w:r>
    </w:p>
    <w:bookmarkEnd w:id="68"/>
    <w:bookmarkEnd w:id="69"/>
    <w:bookmarkStart w:id="72" w:name="model-specification"/>
    <w:p>
      <w:pPr>
        <w:pStyle w:val="Heading2"/>
      </w:pPr>
      <w:r>
        <w:t xml:space="preserve">Model specification</w:t>
      </w:r>
    </w:p>
    <w:p>
      <w:pPr>
        <w:pStyle w:val="FirstParagraph"/>
      </w:pPr>
      <w:r>
        <w:t xml:space="preserve">Given a data set, the next step is to specify a model that properly accounts for the nested structure of the data. Here we focus on specifying a model for the data collected by</w:t>
      </w:r>
      <w:r>
        <w:t xml:space="preserve"> </w:t>
      </w:r>
      <w:r>
        <w:t xml:space="preserve">Rouault et al. (</w:t>
      </w:r>
      <w:hyperlink w:anchor="ref-rouault2018">
        <w:r>
          <w:rPr>
            <w:rStyle w:val="Hyperlink"/>
          </w:rPr>
          <w:t xml:space="preserve">2018</w:t>
        </w:r>
      </w:hyperlink>
      <w:r>
        <w:t xml:space="preserve">)</w:t>
      </w:r>
      <w:r>
        <w:t xml:space="preserve"> </w:t>
      </w:r>
      <w:r>
        <w:t xml:space="preserve">as an example. A full characterization of available model designs is outside the scope of this article; we refer readers to</w:t>
      </w:r>
      <w:r>
        <w:t xml:space="preserve"> </w:t>
      </w:r>
      <w:r>
        <w:t xml:space="preserve">(</w:t>
      </w:r>
      <w:hyperlink w:anchor="ref-buerkner2018">
        <w:r>
          <w:rPr>
            <w:rStyle w:val="Hyperlink"/>
          </w:rPr>
          <w:t xml:space="preserve">Bürkner, 2018</w:t>
        </w:r>
      </w:hyperlink>
      <w:r>
        <w:t xml:space="preserve">;</w:t>
      </w:r>
      <w:r>
        <w:t xml:space="preserve"> </w:t>
      </w:r>
      <w:hyperlink w:anchor="ref-singmann2019">
        <w:r>
          <w:rPr>
            <w:rStyle w:val="Hyperlink"/>
          </w:rPr>
          <w:t xml:space="preserve">Singmann &amp; Kellen, 2019</w:t>
        </w:r>
      </w:hyperlink>
      <w:r>
        <w:t xml:space="preserve">)</w:t>
      </w:r>
      <w:r>
        <w:t xml:space="preserve"> </w:t>
      </w:r>
      <w:r>
        <w:t xml:space="preserve">for more information.</w:t>
      </w:r>
    </w:p>
    <w:p>
      <w:pPr>
        <w:pStyle w:val="BodyText"/>
      </w:pPr>
      <w:r>
        <w:t xml:space="preserve">As can be seen from the aggregated data,</w:t>
      </w:r>
      <w:r>
        <w:t xml:space="preserve"> </w:t>
      </w:r>
      <w:r>
        <w:t xml:space="preserve">Rouault et al. (</w:t>
      </w:r>
      <w:hyperlink w:anchor="ref-rouault2018">
        <w:r>
          <w:rPr>
            <w:rStyle w:val="Hyperlink"/>
          </w:rPr>
          <w:t xml:space="preserve">2018</w:t>
        </w:r>
      </w:hyperlink>
      <w:r>
        <w:t xml:space="preserve">)</w:t>
      </w:r>
      <w:r>
        <w:t xml:space="preserve"> </w:t>
      </w:r>
      <w:r>
        <w:t xml:space="preserve">used a mixed design with repeated trials per participant, but with anxious-depression as a between-participant predictor. To account for this structure, we want a model that hierarchically estimates separate parameters for each participant with population-level effects of anxious-depression</w:t>
      </w:r>
      <w:r>
        <w:t xml:space="preserve"> </w:t>
      </w:r>
      <w:r>
        <w:t xml:space="preserve">(</w:t>
      </w:r>
      <w:hyperlink w:anchor="ref-barr2013">
        <w:r>
          <w:rPr>
            <w:rStyle w:val="Hyperlink"/>
          </w:rPr>
          <w:t xml:space="preserve">Barr, 2013</w:t>
        </w:r>
      </w:hyperlink>
      <w:r>
        <w:t xml:space="preserve">)</w:t>
      </w:r>
      <w:r>
        <w:t xml:space="preserve">. In the</w:t>
      </w:r>
      <w:r>
        <w:t xml:space="preserve"> </w:t>
      </w:r>
      <w:r>
        <w:rPr>
          <w:rStyle w:val="VerbatimChar"/>
        </w:rPr>
        <w:t xml:space="preserve">hmetad</w:t>
      </w:r>
      <w:r>
        <w:t xml:space="preserve"> </w:t>
      </w:r>
      <w:r>
        <w:t xml:space="preserve">package, we can specify this structure as an R formula as used in the</w:t>
      </w:r>
      <w:r>
        <w:t xml:space="preserve"> </w:t>
      </w:r>
      <w:r>
        <w:rPr>
          <w:rStyle w:val="VerbatimChar"/>
        </w:rPr>
        <w:t xml:space="preserve">lme4</w:t>
      </w:r>
      <w:r>
        <w:t xml:space="preserve"> </w:t>
      </w:r>
      <w:r>
        <w:t xml:space="preserve">and</w:t>
      </w:r>
      <w:r>
        <w:t xml:space="preserve"> </w:t>
      </w:r>
      <w:r>
        <w:rPr>
          <w:rStyle w:val="VerbatimChar"/>
        </w:rPr>
        <w:t xml:space="preserve">brms</w:t>
      </w:r>
      <w:r>
        <w:t xml:space="preserve"> </w:t>
      </w:r>
      <w:r>
        <w:t xml:space="preserve">packages.</w:t>
      </w:r>
    </w:p>
    <w:p>
      <w:pPr>
        <w:pStyle w:val="BodyText"/>
      </w:pPr>
      <w:r>
        <w:t xml:space="preserve">First, to verify which parameters our model contains, it is helpful to view the distribution family for our data:</w:t>
      </w:r>
    </w:p>
    <w:p>
      <w:pPr>
        <w:pStyle w:val="SourceCode"/>
      </w:pPr>
      <w:r>
        <w:rPr>
          <w:rStyle w:val="FunctionTok"/>
        </w:rPr>
        <w:t xml:space="preserve">metad</w:t>
      </w:r>
      <w:r>
        <w:rPr>
          <w:rStyle w:val="NormalTok"/>
        </w:rPr>
        <w:t xml:space="preserve">(</w:t>
      </w:r>
      <w:r>
        <w:rPr>
          <w:rStyle w:val="FunctionTok"/>
        </w:rPr>
        <w:t xml:space="preserve">n_distinct</w:t>
      </w:r>
      <w:r>
        <w:rPr>
          <w:rStyle w:val="NormalTok"/>
        </w:rPr>
        <w:t xml:space="preserve">(d</w:t>
      </w:r>
      <w:r>
        <w:rPr>
          <w:rStyle w:val="SpecialCharTok"/>
        </w:rPr>
        <w:t xml:space="preserve">$</w:t>
      </w:r>
      <w:r>
        <w:rPr>
          <w:rStyle w:val="NormalTok"/>
        </w:rPr>
        <w:t xml:space="preserve">confidence))</w:t>
      </w:r>
    </w:p>
    <w:p>
      <w:pPr>
        <w:pStyle w:val="SourceCode"/>
      </w:pPr>
      <w:r>
        <w:rPr>
          <w:rStyle w:val="VerbatimChar"/>
        </w:rPr>
        <w:t xml:space="preserve">Custom family: metad__6__normal__absolute__multinomial</w:t>
      </w:r>
      <w:r>
        <w:br/>
      </w:r>
      <w:r>
        <w:rPr>
          <w:rStyle w:val="VerbatimChar"/>
        </w:rPr>
        <w:t xml:space="preserve">Link function: log</w:t>
      </w:r>
      <w:r>
        <w:br/>
      </w:r>
      <w:r>
        <w:rPr>
          <w:rStyle w:val="VerbatimChar"/>
        </w:rPr>
        <w:t xml:space="preserve">Parameters: mu, dprime, c, metac2zero1diff, metac2zero2diff,</w:t>
      </w:r>
      <w:r>
        <w:br/>
      </w:r>
      <w:r>
        <w:rPr>
          <w:rStyle w:val="VerbatimChar"/>
        </w:rPr>
        <w:t xml:space="preserve">  metac2zero3diff, metac2zero4diff, metac2zero5diff, metac2one1diff,</w:t>
      </w:r>
      <w:r>
        <w:br/>
      </w:r>
      <w:r>
        <w:rPr>
          <w:rStyle w:val="VerbatimChar"/>
        </w:rPr>
        <w:t xml:space="preserve">  metac2one2diff, metac2one3diff, metac2one4diff, metac2one5diff</w:t>
      </w:r>
    </w:p>
    <w:p>
      <w:pPr>
        <w:pStyle w:val="FirstParagraph"/>
      </w:pPr>
      <w:r>
        <w:t xml:space="preserve">This output tells us a few key pieces of information. Looking at the name of the model family, we see that our model has 6 confidence levels and uses the normal distribution for the signal detection model, the</w:t>
      </w:r>
      <w:r>
        <w:t xml:space="preserve"> </w:t>
      </w:r>
      <w:r>
        <w:rPr>
          <w:smallCaps/>
        </w:rPr>
        <w:t xml:space="preserve">absolute</w:t>
      </w:r>
      <w:r>
        <w:t xml:space="preserve"> </w:t>
      </w:r>
      <w:r>
        <w:t xml:space="preserve">variant of the</w:t>
      </w:r>
      <w:r>
        <w:t xml:space="preserve"> </w:t>
      </w:r>
      <m:oMath>
        <m:r>
          <m:rPr>
            <m:nor/>
            <m:sty m:val="p"/>
          </m:rPr>
          <m:t>meta-</m:t>
        </m:r>
        <m:sSup>
          <m:e>
            <m:r>
              <m:t>d</m:t>
            </m:r>
          </m:e>
          <m:sup>
            <m:r>
              <m:rPr>
                <m:sty m:val="p"/>
              </m:rPr>
              <m:t>′</m:t>
            </m:r>
          </m:sup>
        </m:sSup>
      </m:oMath>
      <w:r>
        <w:t xml:space="preserve"> </w:t>
      </w:r>
      <w:r>
        <w:t xml:space="preserve">model, and the multinomial likelihood (over aggregated data). This output also lists the model parameters over which we can specify</w:t>
      </w:r>
      <w:r>
        <w:t xml:space="preserve"> </w:t>
      </w:r>
      <w:r>
        <w:rPr>
          <w:rStyle w:val="VerbatimChar"/>
        </w:rPr>
        <w:t xml:space="preserve">brms</w:t>
      </w:r>
      <w:r>
        <w:t xml:space="preserve"> </w:t>
      </w:r>
      <w:r>
        <w:t xml:space="preserve">formulas. The primary model parameter is the</w:t>
      </w:r>
      <w:r>
        <w:t xml:space="preserve"> </w:t>
      </w:r>
      <m:oMath>
        <m:r>
          <m:t>M</m:t>
        </m:r>
      </m:oMath>
      <w:r>
        <w:t xml:space="preserve">-ratio, which for technical reasons,</w:t>
      </w:r>
      <w:r>
        <w:t xml:space="preserve"> </w:t>
      </w:r>
      <w:r>
        <w:rPr>
          <w:rStyle w:val="VerbatimChar"/>
        </w:rPr>
        <w:t xml:space="preserve">brms</w:t>
      </w:r>
      <w:r>
        <w:t xml:space="preserve"> </w:t>
      </w:r>
      <w:r>
        <w:t xml:space="preserve">requires to be called</w:t>
      </w:r>
      <w:r>
        <w:t xml:space="preserve"> </w:t>
      </w:r>
      <w:r>
        <w:rPr>
          <w:rStyle w:val="VerbatimChar"/>
        </w:rPr>
        <w:t xml:space="preserve">mu</w:t>
      </w:r>
      <w:r>
        <w:t xml:space="preserve">. As the model uses the</w:t>
      </w:r>
      <w:r>
        <w:t xml:space="preserve"> </w:t>
      </w:r>
      <w:r>
        <w:rPr>
          <w:rStyle w:val="VerbatimChar"/>
        </w:rPr>
        <w:t xml:space="preserve">log</w:t>
      </w:r>
      <w:r>
        <w:t xml:space="preserve"> </w:t>
      </w:r>
      <w:r>
        <w:t xml:space="preserve">link function,</w:t>
      </w:r>
      <w:r>
        <w:t xml:space="preserve"> </w:t>
      </w:r>
      <m:oMath>
        <m:r>
          <m:t>M</m:t>
        </m:r>
      </m:oMath>
      <w:r>
        <w:t xml:space="preserve">-ratio is estimated on the logarithmic scale to prevent negative estimates of</w:t>
      </w:r>
      <w:r>
        <w:t xml:space="preserve"> </w:t>
      </w:r>
      <m:oMath>
        <m:r>
          <m:t>M</m:t>
        </m:r>
      </m:oMath>
      <w:r>
        <w:t xml:space="preserve">-ratio</w:t>
      </w:r>
      <w:r>
        <w:rPr>
          <w:rStyle w:val="FootnoteReference"/>
        </w:rPr>
        <w:footnoteReference w:id="70"/>
      </w:r>
      <w:r>
        <w:t xml:space="preserve">.</w:t>
      </w:r>
      <w:r>
        <w:t xml:space="preserve"> </w:t>
      </w:r>
      <w:r>
        <w:rPr>
          <w:rStyle w:val="VerbatimChar"/>
        </w:rPr>
        <w:t xml:space="preserve">dprime</w:t>
      </w:r>
      <w:r>
        <w:t xml:space="preserve"> </w:t>
      </w:r>
      <w:r>
        <w:t xml:space="preserve">and</w:t>
      </w:r>
      <w:r>
        <w:t xml:space="preserve"> </w:t>
      </w:r>
      <w:r>
        <w:rPr>
          <w:rStyle w:val="VerbatimChar"/>
        </w:rPr>
        <w:t xml:space="preserve">c</w:t>
      </w:r>
      <w:r>
        <w:t xml:space="preserve"> </w:t>
      </w:r>
      <w:r>
        <w:t xml:space="preserve">are the Type I sensitivity and response criterion estimated on the identity scale. Finally, we have a long list of parameters which define the Type II criteria. These parameters are named using the syntax</w:t>
      </w:r>
      <w:r>
        <w:t xml:space="preserve"> </w:t>
      </w:r>
      <w:r>
        <w:rPr>
          <w:rStyle w:val="VerbatimChar"/>
        </w:rPr>
        <w:t xml:space="preserve">metac2&lt;response&gt;&lt;confidence&gt;diff</w:t>
      </w:r>
      <w:r>
        <w:t xml:space="preserve">, where</w:t>
      </w:r>
      <w:r>
        <w:t xml:space="preserve"> </w:t>
      </w:r>
      <w:r>
        <w:rPr>
          <w:rStyle w:val="VerbatimChar"/>
        </w:rPr>
        <w:t xml:space="preserve">&lt;response&gt;</w:t>
      </w:r>
      <w:r>
        <w:t xml:space="preserve"> </w:t>
      </w:r>
      <w:r>
        <w:t xml:space="preserve">is the Type I response (either</w:t>
      </w:r>
      <w:r>
        <w:t xml:space="preserve"> </w:t>
      </w:r>
      <w:r>
        <w:rPr>
          <w:rStyle w:val="VerbatimChar"/>
        </w:rPr>
        <w:t xml:space="preserve">zero</w:t>
      </w:r>
      <w:r>
        <w:t xml:space="preserve"> </w:t>
      </w:r>
      <w:r>
        <w:t xml:space="preserve">or</w:t>
      </w:r>
      <w:r>
        <w:t xml:space="preserve"> </w:t>
      </w:r>
      <w:r>
        <w:rPr>
          <w:rStyle w:val="VerbatimChar"/>
        </w:rPr>
        <w:t xml:space="preserve">one</w:t>
      </w:r>
      <w:r>
        <w:t xml:space="preserve">) and</w:t>
      </w:r>
      <w:r>
        <w:t xml:space="preserve"> </w:t>
      </w:r>
      <w:r>
        <w:rPr>
          <w:rStyle w:val="VerbatimChar"/>
        </w:rPr>
        <w:t xml:space="preserve">&lt;confidence&gt;</w:t>
      </w:r>
      <w:r>
        <w:t xml:space="preserve"> </w:t>
      </w:r>
      <w:r>
        <w:t xml:space="preserve">is any integer from</w:t>
      </w:r>
      <w:r>
        <w:t xml:space="preserve"> </w:t>
      </w:r>
      <w:r>
        <w:rPr>
          <w:rStyle w:val="VerbatimChar"/>
        </w:rPr>
        <w:t xml:space="preserve">1</w:t>
      </w:r>
      <w:r>
        <w:t xml:space="preserve"> </w:t>
      </w:r>
      <w:r>
        <w:t xml:space="preserve">to</w:t>
      </w:r>
      <w:r>
        <w:t xml:space="preserve"> </w:t>
      </w:r>
      <w:r>
        <w:rPr>
          <w:rStyle w:val="VerbatimChar"/>
        </w:rPr>
        <w:t xml:space="preserve">5</w:t>
      </w:r>
      <w:r>
        <w:t xml:space="preserve"> </w:t>
      </w:r>
      <w:r>
        <w:t xml:space="preserve">(one less than the total number of confidence levels).</w:t>
      </w:r>
    </w:p>
    <w:p>
      <w:pPr>
        <w:pStyle w:val="BodyText"/>
      </w:pPr>
      <w:r>
        <w:t xml:space="preserve">Now that we know the names of all of the parameters for our model, we can specify a model formula for each parameter using the function</w:t>
      </w:r>
      <w:r>
        <w:t xml:space="preserve"> </w:t>
      </w:r>
      <w:r>
        <w:rPr>
          <w:rStyle w:val="VerbatimChar"/>
        </w:rPr>
        <w:t xml:space="preserve">bf</w:t>
      </w:r>
      <w:r>
        <w:t xml:space="preserve"> </w:t>
      </w:r>
      <w:r>
        <w:t xml:space="preserve">from the</w:t>
      </w:r>
      <w:r>
        <w:t xml:space="preserve"> </w:t>
      </w:r>
      <w:r>
        <w:rPr>
          <w:rStyle w:val="VerbatimChar"/>
        </w:rPr>
        <w:t xml:space="preserve">brms</w:t>
      </w:r>
      <w:r>
        <w:t xml:space="preserve"> </w:t>
      </w:r>
      <w:r>
        <w:t xml:space="preserve">package:</w:t>
      </w:r>
    </w:p>
    <w:p>
      <w:pPr>
        <w:pStyle w:val="SourceCode"/>
      </w:pPr>
      <w:r>
        <w:rPr>
          <w:rStyle w:val="NormalTok"/>
        </w:rPr>
        <w:t xml:space="preserve">formula </w:t>
      </w:r>
      <w:r>
        <w:rPr>
          <w:rStyle w:val="OtherTok"/>
        </w:rPr>
        <w:t xml:space="preserve">&lt;-</w:t>
      </w:r>
      <w:r>
        <w:rPr>
          <w:rStyle w:val="NormalTok"/>
        </w:rPr>
        <w:t xml:space="preserve"> </w:t>
      </w:r>
      <w:r>
        <w:rPr>
          <w:rStyle w:val="FunctionTok"/>
        </w:rPr>
        <w:t xml:space="preserve">bf</w:t>
      </w:r>
      <w:r>
        <w:rPr>
          <w:rStyle w:val="NormalTok"/>
        </w:rPr>
        <w:t xml:space="preserve">(</w:t>
      </w:r>
      <w:r>
        <w:br/>
      </w:r>
      <w:r>
        <w:rPr>
          <w:rStyle w:val="NormalTok"/>
        </w:rPr>
        <w:t xml:space="preserve">  N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participant),</w:t>
      </w:r>
      <w:r>
        <w:br/>
      </w:r>
      <w:r>
        <w:rPr>
          <w:rStyle w:val="NormalTok"/>
        </w:rPr>
        <w:t xml:space="preserve">  dprime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participant),</w:t>
      </w:r>
      <w:r>
        <w:br/>
      </w:r>
      <w:r>
        <w:rPr>
          <w:rStyle w:val="NormalTok"/>
        </w:rPr>
        <w:t xml:space="preserve">  c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participant),</w:t>
      </w:r>
      <w:r>
        <w:br/>
      </w:r>
      <w:r>
        <w:rPr>
          <w:rStyle w:val="NormalTok"/>
        </w:rPr>
        <w:t xml:space="preserve">  metac2zero1diff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  metac2zero2diff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  metac2zero3diff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  metac2zero4diff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  metac2zero5diff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  metac2one1diff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  metac2one2diff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  metac2one3diff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  metac2one4diff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  metac2one5diff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w:t>
      </w:r>
    </w:p>
    <w:p>
      <w:pPr>
        <w:pStyle w:val="FirstParagraph"/>
      </w:pPr>
      <w:r>
        <w:t xml:space="preserve">This formula has a few notable features. First, to specify the formula for</w:t>
      </w:r>
      <w:r>
        <w:t xml:space="preserve"> </w:t>
      </w:r>
      <m:oMath>
        <m:r>
          <m:t>M</m:t>
        </m:r>
      </m:oMath>
      <w:r>
        <w:t xml:space="preserve">-ratio, we use the response variable</w:t>
      </w:r>
      <w:r>
        <w:t xml:space="preserve"> </w:t>
      </w:r>
      <w:r>
        <w:rPr>
          <w:rStyle w:val="VerbatimChar"/>
        </w:rPr>
        <w:t xml:space="preserve">N</w:t>
      </w:r>
      <w:r>
        <w:t xml:space="preserve"> </w:t>
      </w:r>
      <w:r>
        <w:t xml:space="preserve">(which is the name of the column of aggregated responses from</w:t>
      </w:r>
      <w:r>
        <w:t xml:space="preserve"> </w:t>
      </w:r>
      <w:r>
        <w:rPr>
          <w:rStyle w:val="VerbatimChar"/>
        </w:rPr>
        <w:t xml:space="preserve">aggregate_metad</w:t>
      </w:r>
      <w:r>
        <w:t xml:space="preserve">). Second, for each parameter we include</w:t>
      </w:r>
      <w:r>
        <w:t xml:space="preserve"> </w:t>
      </w:r>
      <w:r>
        <w:rPr>
          <w:rStyle w:val="VerbatimChar"/>
        </w:rPr>
        <w:t xml:space="preserve">anxious_depression</w:t>
      </w:r>
      <w:r>
        <w:t xml:space="preserve"> </w:t>
      </w:r>
      <w:r>
        <w:t xml:space="preserve">as a between-participant predictor in the model. Third, we include hierarchical estimates of all coefficients for each participant with the syntax</w:t>
      </w:r>
      <w:r>
        <w:t xml:space="preserve"> </w:t>
      </w:r>
      <w:r>
        <w:rPr>
          <w:rStyle w:val="VerbatimChar"/>
        </w:rPr>
        <w:t xml:space="preserve">(1 | participant)</w:t>
      </w:r>
      <w:r>
        <w:t xml:space="preserve"> </w:t>
      </w:r>
      <w:r>
        <w:t xml:space="preserve">and</w:t>
      </w:r>
      <w:r>
        <w:t xml:space="preserve"> </w:t>
      </w:r>
      <w:r>
        <w:rPr>
          <w:rStyle w:val="VerbatimChar"/>
        </w:rPr>
        <w:t xml:space="preserve">(1 |p| participant)</w:t>
      </w:r>
      <w:r>
        <w:t xml:space="preserve">. This syntax results in random intercepts for each participant, meaning that this model will capture participant-level deviations from model estimates.</w:t>
      </w:r>
      <w:r>
        <w:rPr>
          <w:rStyle w:val="FootnoteReference"/>
        </w:rPr>
        <w:footnoteReference w:id="71"/>
      </w:r>
      <w:r>
        <w:t xml:space="preserve"> </w:t>
      </w:r>
      <w:r>
        <w:t xml:space="preserve">Here, we use</w:t>
      </w:r>
      <w:r>
        <w:t xml:space="preserve"> </w:t>
      </w:r>
      <w:r>
        <w:rPr>
          <w:rStyle w:val="VerbatimChar"/>
        </w:rPr>
        <w:t xml:space="preserve">(1 |p| participant)</w:t>
      </w:r>
      <w:r>
        <w:t xml:space="preserve"> </w:t>
      </w:r>
      <w:r>
        <w:t xml:space="preserve">for the confidence criteria to additionally model participant-level correlations (since it is expected that participants with one confidence criterion set high will likely have others set high as well). As we are using the same design for all model parameters, the formula above has a lot of repeated code. To make the code more readable, we can specify formulas for multiple model parameters at the same time using the</w:t>
      </w:r>
      <w:r>
        <w:t xml:space="preserve"> </w:t>
      </w:r>
      <w:r>
        <w:rPr>
          <w:rStyle w:val="VerbatimChar"/>
        </w:rPr>
        <w:t xml:space="preserve">+</w:t>
      </w:r>
      <w:r>
        <w:t xml:space="preserve"> </w:t>
      </w:r>
      <w:r>
        <w:t xml:space="preserve">operator (except for</w:t>
      </w:r>
      <w:r>
        <w:t xml:space="preserve"> </w:t>
      </w:r>
      <m:oMath>
        <m:r>
          <m:t>M</m:t>
        </m:r>
      </m:oMath>
      <w:r>
        <w:t xml:space="preserve">-ratio, which requires its own formula):</w:t>
      </w:r>
    </w:p>
    <w:p>
      <w:pPr>
        <w:pStyle w:val="SourceCode"/>
      </w:pPr>
      <w:r>
        <w:rPr>
          <w:rStyle w:val="NormalTok"/>
        </w:rPr>
        <w:t xml:space="preserve">formula </w:t>
      </w:r>
      <w:r>
        <w:rPr>
          <w:rStyle w:val="OtherTok"/>
        </w:rPr>
        <w:t xml:space="preserve">&lt;-</w:t>
      </w:r>
      <w:r>
        <w:rPr>
          <w:rStyle w:val="NormalTok"/>
        </w:rPr>
        <w:t xml:space="preserve"> </w:t>
      </w:r>
      <w:r>
        <w:rPr>
          <w:rStyle w:val="FunctionTok"/>
        </w:rPr>
        <w:t xml:space="preserve">bf</w:t>
      </w:r>
      <w:r>
        <w:rPr>
          <w:rStyle w:val="NormalTok"/>
        </w:rPr>
        <w:t xml:space="preserve">(</w:t>
      </w:r>
      <w:r>
        <w:br/>
      </w:r>
      <w:r>
        <w:rPr>
          <w:rStyle w:val="NormalTok"/>
        </w:rPr>
        <w:t xml:space="preserve">  N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participant),</w:t>
      </w:r>
      <w:r>
        <w:br/>
      </w:r>
      <w:r>
        <w:rPr>
          <w:rStyle w:val="NormalTok"/>
        </w:rPr>
        <w:t xml:space="preserve">  dprime </w:t>
      </w:r>
      <w:r>
        <w:rPr>
          <w:rStyle w:val="SpecialCharTok"/>
        </w:rPr>
        <w:t xml:space="preserve">+</w:t>
      </w:r>
      <w:r>
        <w:rPr>
          <w:rStyle w:val="NormalTok"/>
        </w:rPr>
        <w:t xml:space="preserve"> c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participant),</w:t>
      </w:r>
      <w:r>
        <w:br/>
      </w:r>
      <w:r>
        <w:rPr>
          <w:rStyle w:val="NormalTok"/>
        </w:rPr>
        <w:t xml:space="preserve">  metac2zero1diff </w:t>
      </w:r>
      <w:r>
        <w:rPr>
          <w:rStyle w:val="SpecialCharTok"/>
        </w:rPr>
        <w:t xml:space="preserve">+</w:t>
      </w:r>
      <w:r>
        <w:rPr>
          <w:rStyle w:val="NormalTok"/>
        </w:rPr>
        <w:t xml:space="preserve"> metac2zero2diff </w:t>
      </w:r>
      <w:r>
        <w:rPr>
          <w:rStyle w:val="SpecialCharTok"/>
        </w:rPr>
        <w:t xml:space="preserve">+</w:t>
      </w:r>
      <w:r>
        <w:rPr>
          <w:rStyle w:val="NormalTok"/>
        </w:rPr>
        <w:t xml:space="preserve"> metac2zero3diff </w:t>
      </w:r>
      <w:r>
        <w:rPr>
          <w:rStyle w:val="SpecialCharTok"/>
        </w:rPr>
        <w:t xml:space="preserve">+</w:t>
      </w:r>
      <w:r>
        <w:br/>
      </w:r>
      <w:r>
        <w:rPr>
          <w:rStyle w:val="NormalTok"/>
        </w:rPr>
        <w:t xml:space="preserve">    metac2zero4diff </w:t>
      </w:r>
      <w:r>
        <w:rPr>
          <w:rStyle w:val="SpecialCharTok"/>
        </w:rPr>
        <w:t xml:space="preserve">+</w:t>
      </w:r>
      <w:r>
        <w:rPr>
          <w:rStyle w:val="NormalTok"/>
        </w:rPr>
        <w:t xml:space="preserve"> metac2zero5diff </w:t>
      </w:r>
      <w:r>
        <w:rPr>
          <w:rStyle w:val="SpecialCharTok"/>
        </w:rPr>
        <w:t xml:space="preserve">+</w:t>
      </w:r>
      <w:r>
        <w:br/>
      </w:r>
      <w:r>
        <w:rPr>
          <w:rStyle w:val="NormalTok"/>
        </w:rPr>
        <w:t xml:space="preserve">    metac2one1diff </w:t>
      </w:r>
      <w:r>
        <w:rPr>
          <w:rStyle w:val="SpecialCharTok"/>
        </w:rPr>
        <w:t xml:space="preserve">+</w:t>
      </w:r>
      <w:r>
        <w:rPr>
          <w:rStyle w:val="NormalTok"/>
        </w:rPr>
        <w:t xml:space="preserve"> metac2one2diff </w:t>
      </w:r>
      <w:r>
        <w:rPr>
          <w:rStyle w:val="SpecialCharTok"/>
        </w:rPr>
        <w:t xml:space="preserve">+</w:t>
      </w:r>
      <w:r>
        <w:rPr>
          <w:rStyle w:val="NormalTok"/>
        </w:rPr>
        <w:t xml:space="preserve"> metac2one3diff </w:t>
      </w:r>
      <w:r>
        <w:rPr>
          <w:rStyle w:val="SpecialCharTok"/>
        </w:rPr>
        <w:t xml:space="preserve">+</w:t>
      </w:r>
      <w:r>
        <w:br/>
      </w:r>
      <w:r>
        <w:rPr>
          <w:rStyle w:val="NormalTok"/>
        </w:rPr>
        <w:t xml:space="preserve">    metac2one4diff </w:t>
      </w:r>
      <w:r>
        <w:rPr>
          <w:rStyle w:val="SpecialCharTok"/>
        </w:rPr>
        <w:t xml:space="preserve">+</w:t>
      </w:r>
      <w:r>
        <w:rPr>
          <w:rStyle w:val="NormalTok"/>
        </w:rPr>
        <w:t xml:space="preserve"> metac2one5diff </w:t>
      </w:r>
      <w:r>
        <w:rPr>
          <w:rStyle w:val="SpecialCharTok"/>
        </w:rPr>
        <w:t xml:space="preserve">~</w:t>
      </w:r>
      <w:r>
        <w:br/>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w:t>
      </w:r>
    </w:p>
    <w:bookmarkEnd w:id="72"/>
    <w:bookmarkStart w:id="78" w:name="prior-elicitation"/>
    <w:p>
      <w:pPr>
        <w:pStyle w:val="Heading2"/>
      </w:pPr>
      <w:r>
        <w:t xml:space="preserve">Prior elicitation</w:t>
      </w:r>
    </w:p>
    <w:p>
      <w:pPr>
        <w:pStyle w:val="FirstParagraph"/>
      </w:pPr>
      <w:r>
        <w:t xml:space="preserve">Before fitting the</w:t>
      </w:r>
      <w:r>
        <w:t xml:space="preserve"> </w:t>
      </w:r>
      <m:oMath>
        <m:r>
          <m:rPr>
            <m:nor/>
            <m:sty m:val="p"/>
          </m:rPr>
          <m:t>meta-</m:t>
        </m:r>
        <m:sSup>
          <m:e>
            <m:r>
              <m:t>d</m:t>
            </m:r>
          </m:e>
          <m:sup>
            <m:r>
              <m:rPr>
                <m:sty m:val="p"/>
              </m:rPr>
              <m:t>′</m:t>
            </m:r>
          </m:sup>
        </m:sSup>
      </m:oMath>
      <w:r>
        <w:t xml:space="preserve"> </w:t>
      </w:r>
      <w:r>
        <w:t xml:space="preserve">model, it is necessary to specify priors over model parameters using multiple calls to the</w:t>
      </w:r>
      <w:r>
        <w:t xml:space="preserve"> </w:t>
      </w:r>
      <w:r>
        <w:rPr>
          <w:rStyle w:val="VerbatimChar"/>
        </w:rPr>
        <w:t xml:space="preserve">set_prior</w:t>
      </w:r>
      <w:r>
        <w:t xml:space="preserve"> </w:t>
      </w:r>
      <w:r>
        <w:t xml:space="preserve">function (or one of its variants) from the</w:t>
      </w:r>
      <w:r>
        <w:t xml:space="preserve"> </w:t>
      </w:r>
      <w:r>
        <w:rPr>
          <w:rStyle w:val="VerbatimChar"/>
        </w:rPr>
        <w:t xml:space="preserve">brms</w:t>
      </w:r>
      <w:r>
        <w:t xml:space="preserve"> </w:t>
      </w:r>
      <w:r>
        <w:t xml:space="preserve">package. Generally, prior specification will depend on a mixture of domain expertise about the model, the data being modeled, and the population being studied. The general goal is to choose priors that match our broad assumptions about the patterns expected in the data. Critically, these expectations are typically independent of our hypothesis test(s) of interest—in this case, the link between anxious-depression level and metacognition. For instance, in the case of the</w:t>
      </w:r>
      <w:r>
        <w:t xml:space="preserve"> </w:t>
      </w:r>
      <m:oMath>
        <m:r>
          <m:rPr>
            <m:nor/>
            <m:sty m:val="p"/>
          </m:rPr>
          <m:t>meta-</m:t>
        </m:r>
        <m:sSup>
          <m:e>
            <m:r>
              <m:t>d</m:t>
            </m:r>
          </m:e>
          <m:sup>
            <m:r>
              <m:rPr>
                <m:sty m:val="p"/>
              </m:rPr>
              <m:t>′</m:t>
            </m:r>
          </m:sup>
        </m:sSup>
      </m:oMath>
      <w:r>
        <w:t xml:space="preserve"> </w:t>
      </w:r>
      <w:r>
        <w:t xml:space="preserve">model, we should select priors on confidence criteria that approximate a reasonable distribution of confidence ratings when averaged across conditions of an experiment, or across individuals in a population. Appropriate prior specification is important to enable efficient and accurate model fits, just as selecting appropriate initializations and bounds on parameters is important for any constrained optimization problem. Because prior specification is a somewhat subjective process, we recommend the use of prior predictive checks—the simulation of model parameters and predictions from the prior distribution—as a standard part of the Bayesian workflow</w:t>
      </w:r>
      <w:r>
        <w:t xml:space="preserve"> </w:t>
      </w:r>
      <w:r>
        <w:t xml:space="preserve">(</w:t>
      </w:r>
      <w:hyperlink w:anchor="ref-gelman2026">
        <w:r>
          <w:rPr>
            <w:rStyle w:val="Hyperlink"/>
          </w:rPr>
          <w:t xml:space="preserve">Gelman et al.</w:t>
        </w:r>
        <w:r>
          <w:rPr>
            <w:rStyle w:val="Hyperlink"/>
          </w:rPr>
          <w:t xml:space="preserve">, 2026</w:t>
        </w:r>
      </w:hyperlink>
      <w:r>
        <w:t xml:space="preserve">;</w:t>
      </w:r>
      <w:r>
        <w:t xml:space="preserve"> </w:t>
      </w:r>
      <w:hyperlink w:anchor="ref-schad2021">
        <w:r>
          <w:rPr>
            <w:rStyle w:val="Hyperlink"/>
          </w:rPr>
          <w:t xml:space="preserve">Schad et al., 2021</w:t>
        </w:r>
      </w:hyperlink>
      <w:r>
        <w:t xml:space="preserve">)</w:t>
      </w:r>
      <w:r>
        <w:t xml:space="preserve">.</w:t>
      </w:r>
    </w:p>
    <w:p>
      <w:pPr>
        <w:pStyle w:val="BodyText"/>
      </w:pPr>
      <w:r>
        <w:t xml:space="preserve">Here we chose to use normal priors over the model coefficients, half-normal priors for the between-participant standard deviations, and LKJ priors for between-participant correlations:</w:t>
      </w:r>
    </w:p>
    <w:p>
      <w:pPr>
        <w:pStyle w:val="SourceCode"/>
      </w:pPr>
      <w:r>
        <w:rPr>
          <w:rStyle w:val="NormalTok"/>
        </w:rPr>
        <w:t xml:space="preserve">prior </w:t>
      </w:r>
      <w:r>
        <w:rPr>
          <w:rStyle w:val="OtherTok"/>
        </w:rPr>
        <w:t xml:space="preserve">&lt;-</w:t>
      </w:r>
      <w:r>
        <w:rPr>
          <w:rStyle w:val="NormalTok"/>
        </w:rPr>
        <w:t xml:space="preserve"> </w:t>
      </w:r>
      <w:r>
        <w:rPr>
          <w:rStyle w:val="FunctionTok"/>
        </w:rPr>
        <w:t xml:space="preserve">set_prior</w:t>
      </w:r>
      <w:r>
        <w:rPr>
          <w:rStyle w:val="NormalTok"/>
        </w:rPr>
        <w:t xml:space="preserve">(</w:t>
      </w:r>
      <w:r>
        <w:rPr>
          <w:rStyle w:val="StringTok"/>
        </w:rPr>
        <w:t xml:space="preserve">"normal(0, .33)"</w:t>
      </w:r>
      <w:r>
        <w:rPr>
          <w:rStyle w:val="NormalTok"/>
        </w:rPr>
        <w:t xml:space="preserve">, </w:t>
      </w:r>
      <w:r>
        <w:rPr>
          <w:rStyle w:val="AttributeTok"/>
        </w:rPr>
        <w:t xml:space="preserve">class =</w:t>
      </w:r>
      <w:r>
        <w:rPr>
          <w:rStyle w:val="NormalTok"/>
        </w:rPr>
        <w:t xml:space="preserve"> </w:t>
      </w:r>
      <w:r>
        <w:rPr>
          <w:rStyle w:val="StringTok"/>
        </w:rPr>
        <w:t xml:space="preserve">"Intercept"</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"normal(1.11, .1)"</w:t>
      </w:r>
      <w:r>
        <w:rPr>
          <w:rStyle w:val="NormalTok"/>
        </w:rPr>
        <w:t xml:space="preserve">, </w:t>
      </w:r>
      <w:r>
        <w:rPr>
          <w:rStyle w:val="AttributeTok"/>
        </w:rPr>
        <w:t xml:space="preserve">class =</w:t>
      </w:r>
      <w:r>
        <w:rPr>
          <w:rStyle w:val="NormalTok"/>
        </w:rPr>
        <w:t xml:space="preserve"> </w:t>
      </w:r>
      <w:r>
        <w:rPr>
          <w:rStyle w:val="StringTok"/>
        </w:rPr>
        <w:t xml:space="preserve">"Intercept"</w:t>
      </w:r>
      <w:r>
        <w:rPr>
          <w:rStyle w:val="NormalTok"/>
        </w:rPr>
        <w:t xml:space="preserve">, </w:t>
      </w:r>
      <w:r>
        <w:rPr>
          <w:rStyle w:val="AttributeTok"/>
        </w:rPr>
        <w:t xml:space="preserve">dpar =</w:t>
      </w:r>
      <w:r>
        <w:rPr>
          <w:rStyle w:val="NormalTok"/>
        </w:rPr>
        <w:t xml:space="preserve"> </w:t>
      </w:r>
      <w:r>
        <w:rPr>
          <w:rStyle w:val="StringTok"/>
        </w:rPr>
        <w:t xml:space="preserve">"dprime"</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.1)"</w:t>
      </w:r>
      <w:r>
        <w:rPr>
          <w:rStyle w:val="NormalTok"/>
        </w:rPr>
        <w:t xml:space="preserve">, </w:t>
      </w:r>
      <w:r>
        <w:rPr>
          <w:rStyle w:val="AttributeTok"/>
        </w:rPr>
        <w:t xml:space="preserve">class =</w:t>
      </w:r>
      <w:r>
        <w:rPr>
          <w:rStyle w:val="NormalTok"/>
        </w:rPr>
        <w:t xml:space="preserve"> </w:t>
      </w:r>
      <w:r>
        <w:rPr>
          <w:rStyle w:val="StringTok"/>
        </w:rPr>
        <w:t xml:space="preserve">"Intercept"</w:t>
      </w:r>
      <w:r>
        <w:rPr>
          <w:rStyle w:val="NormalTok"/>
        </w:rPr>
        <w:t xml:space="preserve">, </w:t>
      </w:r>
      <w:r>
        <w:rPr>
          <w:rStyle w:val="AttributeTok"/>
        </w:rPr>
        <w:t xml:space="preserve">dpar =</w:t>
      </w:r>
      <w:r>
        <w:rPr>
          <w:rStyle w:val="NormalTok"/>
        </w:rPr>
        <w:t xml:space="preserve"> </w:t>
      </w:r>
      <w:r>
        <w:rPr>
          <w:rStyle w:val="StringTok"/>
        </w:rPr>
        <w:t xml:space="preserve">"c"</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1)"</w:t>
      </w:r>
      <w:r>
        <w:rPr>
          <w:rStyle w:val="NormalTok"/>
        </w:rPr>
        <w:t xml:space="preserve">, </w:t>
      </w:r>
      <w:r>
        <w:rPr>
          <w:rStyle w:val="AttributeTok"/>
        </w:rPr>
        <w:t xml:space="preserve">class =</w:t>
      </w:r>
      <w:r>
        <w:rPr>
          <w:rStyle w:val="NormalTok"/>
        </w:rPr>
        <w:t xml:space="preserve"> </w:t>
      </w:r>
      <w:r>
        <w:rPr>
          <w:rStyle w:val="StringTok"/>
        </w:rPr>
        <w:t xml:space="preserve">"Intercept"</w:t>
      </w:r>
      <w:r>
        <w:rPr>
          <w:rStyle w:val="NormalTok"/>
        </w:rPr>
        <w:t xml:space="preserve">, </w:t>
      </w:r>
      <w:r>
        <w:rPr>
          <w:rStyle w:val="AttributeTok"/>
        </w:rPr>
        <w:t xml:space="preserve">dpar =</w:t>
      </w:r>
      <w:r>
        <w:rPr>
          <w:rStyle w:val="NormalTok"/>
        </w:rPr>
        <w:t xml:space="preserve"> </w:t>
      </w:r>
      <w:r>
        <w:rPr>
          <w:rStyle w:val="FunctionTok"/>
        </w:rPr>
        <w:t xml:space="preserve">metac2_parameters</w:t>
      </w:r>
      <w:r>
        <w:rPr>
          <w:rStyle w:val="NormalTok"/>
        </w:rPr>
        <w:t xml:space="preserve">(</w:t>
      </w:r>
      <w:r>
        <w:rPr>
          <w:rStyle w:val="AttributeTok"/>
        </w:rPr>
        <w:t xml:space="preserve">K =</w:t>
      </w:r>
      <w:r>
        <w:rPr>
          <w:rStyle w:val="NormalTok"/>
        </w:rPr>
        <w:t xml:space="preserve"> </w:t>
      </w:r>
      <w:r>
        <w:rPr>
          <w:rStyle w:val="DecValTok"/>
        </w:rPr>
        <w:t xml:space="preserve">6</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0.25)"</w:t>
      </w:r>
      <w:r>
        <w:rPr>
          <w:rStyle w:val="NormalTok"/>
        </w:rPr>
        <w:t xml:space="preserve">, </w:t>
      </w:r>
      <w:r>
        <w:rPr>
          <w:rStyle w:val="AttributeTok"/>
        </w:rPr>
        <w:t xml:space="preserve">class =</w:t>
      </w:r>
      <w:r>
        <w:rPr>
          <w:rStyle w:val="NormalTok"/>
        </w:rPr>
        <w:t xml:space="preserve"> </w:t>
      </w:r>
      <w:r>
        <w:rPr>
          <w:rStyle w:val="StringTok"/>
        </w:rPr>
        <w:t xml:space="preserve">"b"</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0.25)"</w:t>
      </w:r>
      <w:r>
        <w:rPr>
          <w:rStyle w:val="NormalTok"/>
        </w:rPr>
        <w:t xml:space="preserve">, </w:t>
      </w:r>
      <w:r>
        <w:rPr>
          <w:rStyle w:val="AttributeTok"/>
        </w:rPr>
        <w:t xml:space="preserve">class =</w:t>
      </w:r>
      <w:r>
        <w:rPr>
          <w:rStyle w:val="NormalTok"/>
        </w:rPr>
        <w:t xml:space="preserve"> </w:t>
      </w:r>
      <w:r>
        <w:rPr>
          <w:rStyle w:val="StringTok"/>
        </w:rPr>
        <w:t xml:space="preserve">"b"</w:t>
      </w:r>
      <w:r>
        <w:rPr>
          <w:rStyle w:val="NormalTok"/>
        </w:rPr>
        <w:t xml:space="preserve">, </w:t>
      </w:r>
      <w:r>
        <w:rPr>
          <w:rStyle w:val="AttributeTok"/>
        </w:rPr>
        <w:t xml:space="preserve">dpar =</w:t>
      </w:r>
      <w:r>
        <w:rPr>
          <w:rStyle w:val="NormalTok"/>
        </w:rPr>
        <w:t xml:space="preserve"> </w:t>
      </w:r>
      <w:r>
        <w:rPr>
          <w:rStyle w:val="FunctionTok"/>
        </w:rPr>
        <w:t xml:space="preserve">c</w:t>
      </w:r>
      <w:r>
        <w:rPr>
          <w:rStyle w:val="NormalTok"/>
        </w:rPr>
        <w:t xml:space="preserve">(</w:t>
      </w:r>
      <w:r>
        <w:rPr>
          <w:rStyle w:val="StringTok"/>
        </w:rPr>
        <w:t xml:space="preserve">"dprime"</w:t>
      </w:r>
      <w:r>
        <w:rPr>
          <w:rStyle w:val="NormalTok"/>
        </w:rPr>
        <w:t xml:space="preserve">, </w:t>
      </w:r>
      <w:r>
        <w:rPr>
          <w:rStyle w:val="StringTok"/>
        </w:rPr>
        <w:t xml:space="preserve">"c"</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0.25)"</w:t>
      </w:r>
      <w:r>
        <w:rPr>
          <w:rStyle w:val="NormalTok"/>
        </w:rPr>
        <w:t xml:space="preserve">, </w:t>
      </w:r>
      <w:r>
        <w:rPr>
          <w:rStyle w:val="AttributeTok"/>
        </w:rPr>
        <w:t xml:space="preserve">class =</w:t>
      </w:r>
      <w:r>
        <w:rPr>
          <w:rStyle w:val="NormalTok"/>
        </w:rPr>
        <w:t xml:space="preserve"> </w:t>
      </w:r>
      <w:r>
        <w:rPr>
          <w:rStyle w:val="StringTok"/>
        </w:rPr>
        <w:t xml:space="preserve">"b"</w:t>
      </w:r>
      <w:r>
        <w:rPr>
          <w:rStyle w:val="NormalTok"/>
        </w:rPr>
        <w:t xml:space="preserve">, </w:t>
      </w:r>
      <w:r>
        <w:rPr>
          <w:rStyle w:val="AttributeTok"/>
        </w:rPr>
        <w:t xml:space="preserve">dpar =</w:t>
      </w:r>
      <w:r>
        <w:rPr>
          <w:rStyle w:val="NormalTok"/>
        </w:rPr>
        <w:t xml:space="preserve"> </w:t>
      </w:r>
      <w:r>
        <w:rPr>
          <w:rStyle w:val="FunctionTok"/>
        </w:rPr>
        <w:t xml:space="preserve">metac2_parameters</w:t>
      </w:r>
      <w:r>
        <w:rPr>
          <w:rStyle w:val="NormalTok"/>
        </w:rPr>
        <w:t xml:space="preserve">(</w:t>
      </w:r>
      <w:r>
        <w:rPr>
          <w:rStyle w:val="AttributeTok"/>
        </w:rPr>
        <w:t xml:space="preserve">K =</w:t>
      </w:r>
      <w:r>
        <w:rPr>
          <w:rStyle w:val="NormalTok"/>
        </w:rPr>
        <w:t xml:space="preserve"> </w:t>
      </w:r>
      <w:r>
        <w:rPr>
          <w:rStyle w:val="DecValTok"/>
        </w:rPr>
        <w:t xml:space="preserve">6</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0.5)"</w:t>
      </w:r>
      <w:r>
        <w:rPr>
          <w:rStyle w:val="NormalTok"/>
        </w:rPr>
        <w:t xml:space="preserve">, </w:t>
      </w:r>
      <w:r>
        <w:rPr>
          <w:rStyle w:val="AttributeTok"/>
        </w:rPr>
        <w:t xml:space="preserve">class =</w:t>
      </w:r>
      <w:r>
        <w:rPr>
          <w:rStyle w:val="NormalTok"/>
        </w:rPr>
        <w:t xml:space="preserve"> </w:t>
      </w:r>
      <w:r>
        <w:rPr>
          <w:rStyle w:val="StringTok"/>
        </w:rPr>
        <w:t xml:space="preserve">"sd"</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0.33)"</w:t>
      </w:r>
      <w:r>
        <w:rPr>
          <w:rStyle w:val="NormalTok"/>
        </w:rPr>
        <w:t xml:space="preserve">, </w:t>
      </w:r>
      <w:r>
        <w:rPr>
          <w:rStyle w:val="AttributeTok"/>
        </w:rPr>
        <w:t xml:space="preserve">class =</w:t>
      </w:r>
      <w:r>
        <w:rPr>
          <w:rStyle w:val="NormalTok"/>
        </w:rPr>
        <w:t xml:space="preserve"> </w:t>
      </w:r>
      <w:r>
        <w:rPr>
          <w:rStyle w:val="StringTok"/>
        </w:rPr>
        <w:t xml:space="preserve">"sd"</w:t>
      </w:r>
      <w:r>
        <w:rPr>
          <w:rStyle w:val="NormalTok"/>
        </w:rPr>
        <w:t xml:space="preserve">, </w:t>
      </w:r>
      <w:r>
        <w:rPr>
          <w:rStyle w:val="AttributeTok"/>
        </w:rPr>
        <w:t xml:space="preserve">dpar =</w:t>
      </w:r>
      <w:r>
        <w:rPr>
          <w:rStyle w:val="NormalTok"/>
        </w:rPr>
        <w:t xml:space="preserve"> </w:t>
      </w:r>
      <w:r>
        <w:rPr>
          <w:rStyle w:val="FunctionTok"/>
        </w:rPr>
        <w:t xml:space="preserve">c</w:t>
      </w:r>
      <w:r>
        <w:rPr>
          <w:rStyle w:val="NormalTok"/>
        </w:rPr>
        <w:t xml:space="preserve">(</w:t>
      </w:r>
      <w:r>
        <w:rPr>
          <w:rStyle w:val="StringTok"/>
        </w:rPr>
        <w:t xml:space="preserve">"dprime"</w:t>
      </w:r>
      <w:r>
        <w:rPr>
          <w:rStyle w:val="NormalTok"/>
        </w:rPr>
        <w:t xml:space="preserve">, </w:t>
      </w:r>
      <w:r>
        <w:rPr>
          <w:rStyle w:val="StringTok"/>
        </w:rPr>
        <w:t xml:space="preserve">"c"</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1)"</w:t>
      </w:r>
      <w:r>
        <w:rPr>
          <w:rStyle w:val="NormalTok"/>
        </w:rPr>
        <w:t xml:space="preserve">, </w:t>
      </w:r>
      <w:r>
        <w:rPr>
          <w:rStyle w:val="AttributeTok"/>
        </w:rPr>
        <w:t xml:space="preserve">class =</w:t>
      </w:r>
      <w:r>
        <w:rPr>
          <w:rStyle w:val="NormalTok"/>
        </w:rPr>
        <w:t xml:space="preserve"> </w:t>
      </w:r>
      <w:r>
        <w:rPr>
          <w:rStyle w:val="StringTok"/>
        </w:rPr>
        <w:t xml:space="preserve">"sd"</w:t>
      </w:r>
      <w:r>
        <w:rPr>
          <w:rStyle w:val="NormalTok"/>
        </w:rPr>
        <w:t xml:space="preserve">, </w:t>
      </w:r>
      <w:r>
        <w:rPr>
          <w:rStyle w:val="AttributeTok"/>
        </w:rPr>
        <w:t xml:space="preserve">dpar =</w:t>
      </w:r>
      <w:r>
        <w:rPr>
          <w:rStyle w:val="NormalTok"/>
        </w:rPr>
        <w:t xml:space="preserve"> </w:t>
      </w:r>
      <w:r>
        <w:rPr>
          <w:rStyle w:val="FunctionTok"/>
        </w:rPr>
        <w:t xml:space="preserve">metac2_parameters</w:t>
      </w:r>
      <w:r>
        <w:rPr>
          <w:rStyle w:val="NormalTok"/>
        </w:rPr>
        <w:t xml:space="preserve">(</w:t>
      </w:r>
      <w:r>
        <w:rPr>
          <w:rStyle w:val="AttributeTok"/>
        </w:rPr>
        <w:t xml:space="preserve">K =</w:t>
      </w:r>
      <w:r>
        <w:rPr>
          <w:rStyle w:val="NormalTok"/>
        </w:rPr>
        <w:t xml:space="preserve"> </w:t>
      </w:r>
      <w:r>
        <w:rPr>
          <w:rStyle w:val="DecValTok"/>
        </w:rPr>
        <w:t xml:space="preserve">6</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"lkj(2)"</w:t>
      </w:r>
      <w:r>
        <w:rPr>
          <w:rStyle w:val="NormalTok"/>
        </w:rPr>
        <w:t xml:space="preserve">, </w:t>
      </w:r>
      <w:r>
        <w:rPr>
          <w:rStyle w:val="AttributeTok"/>
        </w:rPr>
        <w:t xml:space="preserve">class =</w:t>
      </w:r>
      <w:r>
        <w:rPr>
          <w:rStyle w:val="NormalTok"/>
        </w:rPr>
        <w:t xml:space="preserve"> </w:t>
      </w:r>
      <w:r>
        <w:rPr>
          <w:rStyle w:val="StringTok"/>
        </w:rPr>
        <w:t xml:space="preserve">"cor"</w:t>
      </w:r>
      <w:r>
        <w:rPr>
          <w:rStyle w:val="NormalTok"/>
        </w:rPr>
        <w:t xml:space="preserve">)</w:t>
      </w:r>
    </w:p>
    <w:p>
      <w:pPr>
        <w:pStyle w:val="FirstParagraph"/>
      </w:pPr>
      <w:r>
        <w:t xml:space="preserve">Because we are modeling each parameter hierarchically, each parameter has a separate prior for its population-level intercepts (with the argument</w:t>
      </w:r>
      <w:r>
        <w:t xml:space="preserve"> </w:t>
      </w:r>
      <w:r>
        <w:rPr>
          <w:rStyle w:val="VerbatimChar"/>
        </w:rPr>
        <w:t xml:space="preserve">class = "Intercept"</w:t>
      </w:r>
      <w:r>
        <w:t xml:space="preserve">), population-level coefficients (with the argument</w:t>
      </w:r>
      <w:r>
        <w:t xml:space="preserve"> </w:t>
      </w:r>
      <w:r>
        <w:rPr>
          <w:rStyle w:val="VerbatimChar"/>
        </w:rPr>
        <w:t xml:space="preserve">class = "b"</w:t>
      </w:r>
      <w:r>
        <w:t xml:space="preserve">) and for the standard deviation of between-participant differences (with the argument</w:t>
      </w:r>
      <w:r>
        <w:t xml:space="preserve"> </w:t>
      </w:r>
      <w:r>
        <w:rPr>
          <w:rStyle w:val="VerbatimChar"/>
        </w:rPr>
        <w:t xml:space="preserve">class = "sd"</w:t>
      </w:r>
      <w:r>
        <w:t xml:space="preserve">). These priors have been selected to match our expectations for the particular design used by</w:t>
      </w:r>
      <w:r>
        <w:t xml:space="preserve"> </w:t>
      </w:r>
      <w:r>
        <w:t xml:space="preserve">Rouault et al. (</w:t>
      </w:r>
      <w:hyperlink w:anchor="ref-rouault2018">
        <w:r>
          <w:rPr>
            <w:rStyle w:val="Hyperlink"/>
          </w:rPr>
          <w:t xml:space="preserve">2018</w:t>
        </w:r>
      </w:hyperlink>
      <w:r>
        <w:t xml:space="preserve">)</w:t>
      </w:r>
      <w:r>
        <w:t xml:space="preserve">. In particular, for perceptual tasks we generally expect mean</w:t>
      </w:r>
      <w:r>
        <w:t xml:space="preserve"> </w:t>
      </w:r>
      <m:oMath>
        <m:r>
          <m:t>M</m:t>
        </m:r>
      </m:oMath>
      <w:r>
        <w:t xml:space="preserve">-ratio to lie somewhere between</w:t>
      </w:r>
      <w:r>
        <w:t xml:space="preserve"> </w:t>
      </w:r>
      <w:r>
        <w:rPr>
          <w:rStyle w:val="VerbatimChar"/>
        </w:rPr>
        <w:t xml:space="preserve">0.5</w:t>
      </w:r>
      <w:r>
        <w:t xml:space="preserve"> </w:t>
      </w:r>
      <w:r>
        <w:t xml:space="preserve">and</w:t>
      </w:r>
      <w:r>
        <w:t xml:space="preserve"> </w:t>
      </w:r>
      <w:r>
        <w:rPr>
          <w:rStyle w:val="VerbatimChar"/>
        </w:rPr>
        <w:t xml:space="preserve">2.0</w:t>
      </w:r>
      <w:r>
        <w:t xml:space="preserve">, with participant-level</w:t>
      </w:r>
      <w:r>
        <w:t xml:space="preserve"> </w:t>
      </w:r>
      <m:oMath>
        <m:r>
          <m:t>M</m:t>
        </m:r>
      </m:oMath>
      <w:r>
        <w:t xml:space="preserve">-ratios having slightly more variance. Next, because this experiment (a) used a two-alternative forced-choice design to reduce response biases and (b) included a two-down one-up staircase to fix task performance to</w:t>
      </w:r>
      <w:r>
        <w:t xml:space="preserve"> </w:t>
      </w:r>
      <m:oMath>
        <m:r>
          <m:rPr>
            <m:sty m:val="p"/>
          </m:rPr>
          <m:t>∼</m:t>
        </m:r>
        <m:r>
          <m:t>​</m:t>
        </m:r>
        <m:r>
          <m:t>71</m:t>
        </m:r>
        <m:r>
          <m:rPr>
            <m:sty m:val="p"/>
          </m:rPr>
          <m:t>%</m:t>
        </m:r>
      </m:oMath>
      <w:r>
        <w:t xml:space="preserve"> </w:t>
      </w:r>
      <w:r>
        <w:t xml:space="preserve">for all participants, we have a strong expectation that</w:t>
      </w:r>
      <w:r>
        <w:t xml:space="preserve"> </w:t>
      </w:r>
      <m:oMath>
        <m:r>
          <m:t>c</m:t>
        </m:r>
        <m:r>
          <m:rPr>
            <m:sty m:val="p"/>
          </m:rPr>
          <m:t>≈</m:t>
        </m:r>
        <m:r>
          <m:t>0</m:t>
        </m:r>
      </m:oMath>
      <w:r>
        <w:t xml:space="preserve"> </w:t>
      </w:r>
      <w:r>
        <w:t xml:space="preserve">and</w:t>
      </w:r>
      <w:r>
        <w:t xml:space="preserve"> </w:t>
      </w:r>
      <m:oMath>
        <m:sSup>
          <m:e>
            <m:r>
              <m:t>d</m:t>
            </m:r>
          </m:e>
          <m:sup>
            <m:r>
              <m:rPr>
                <m:sty m:val="p"/>
              </m:rPr>
              <m:t>′</m:t>
            </m:r>
          </m:sup>
        </m:sSup>
        <m:r>
          <m:rPr>
            <m:sty m:val="p"/>
          </m:rPr>
          <m:t>≈</m:t>
        </m:r>
        <m:r>
          <m:t>2</m:t>
        </m:r>
        <m:sSup>
          <m:e>
            <m:r>
              <m:rPr>
                <m:sty m:val="p"/>
              </m:rPr>
              <m:t>Φ</m:t>
            </m:r>
          </m:e>
          <m:sup>
            <m:r>
              <m:rPr>
                <m:sty m:val="p"/>
              </m:rPr>
              <m:t>−</m:t>
            </m:r>
            <m:r>
              <m:t>1</m:t>
            </m:r>
          </m:sup>
        </m:sSup>
        <m:r>
          <m:rPr>
            <m:sty m:val="p"/>
          </m:rPr>
          <m:t>(</m:t>
        </m:r>
        <m:r>
          <m:t>.71</m:t>
        </m:r>
        <m:r>
          <m:rPr>
            <m:sty m:val="p"/>
          </m:rPr>
          <m:t>)</m:t>
        </m:r>
        <m:r>
          <m:rPr>
            <m:sty m:val="p"/>
          </m:rPr>
          <m:t>≈</m:t>
        </m:r>
        <m:r>
          <m:t>1.11</m:t>
        </m:r>
      </m:oMath>
      <w:r>
        <w:t xml:space="preserve">. To account for this, we set reasonably informative priors over both parameters, as well as priors over the between-participant standard deviations that encourage small differences in first-order performance between participants.</w:t>
      </w:r>
    </w:p>
    <w:p>
      <w:pPr>
        <w:pStyle w:val="BodyText"/>
      </w:pPr>
      <w:r>
        <w:t xml:space="preserve">The priors for the confidence criteria are the most difficult to set, because they are on an unintuitive scale (i.e., log distances between successive criteria) and because the optimal criterion setting will depend on the number of confidence levels available to the participant</w:t>
      </w:r>
      <w:r>
        <w:t xml:space="preserve"> </w:t>
      </w:r>
      <w:r>
        <w:t xml:space="preserve">(among other factors, see</w:t>
      </w:r>
      <w:r>
        <w:t xml:space="preserve"> </w:t>
      </w:r>
      <w:hyperlink w:anchor="ref-maniscalco2025">
        <w:r>
          <w:rPr>
            <w:rStyle w:val="Hyperlink"/>
          </w:rPr>
          <w:t xml:space="preserve">Maniscalco et al., 2025</w:t>
        </w:r>
      </w:hyperlink>
      <w:r>
        <w:t xml:space="preserve">)</w:t>
      </w:r>
      <w:r>
        <w:t xml:space="preserve">. As a starting point, here was have arbitrarily chosen standard normal priors for these parameters. Rather than relying on such choices in our analysis, however, here we will iteratively refine our prior distribution through the use of prior predictive checks. As described above, these prior predictive checks are carried out before evaluating our hypothesis test about the relationship between anxious-depression level, to avoid biasing our choice of priors. So, to check the implications of this prior distribution, we can fit a prior-only model by calling the function</w:t>
      </w:r>
      <w:r>
        <w:t xml:space="preserve"> </w:t>
      </w:r>
      <w:r>
        <w:rPr>
          <w:rStyle w:val="VerbatimChar"/>
        </w:rPr>
        <w:t xml:space="preserve">fit_metad</w:t>
      </w:r>
      <w:r>
        <w:t xml:space="preserve"> </w:t>
      </w:r>
      <w:r>
        <w:t xml:space="preserve">with the argument</w:t>
      </w:r>
      <w:r>
        <w:t xml:space="preserve"> </w:t>
      </w:r>
      <w:r>
        <w:rPr>
          <w:rStyle w:val="VerbatimChar"/>
        </w:rPr>
        <w:t xml:space="preserve">sample_prior = "only"</w:t>
      </w:r>
      <w:r>
        <w:t xml:space="preserve">:</w:t>
      </w:r>
    </w:p>
    <w:p>
      <w:pPr>
        <w:pStyle w:val="SourceCode"/>
      </w:pPr>
      <w:r>
        <w:rPr>
          <w:rStyle w:val="NormalTok"/>
        </w:rPr>
        <w:t xml:space="preserve">m.prior </w:t>
      </w:r>
      <w:r>
        <w:rPr>
          <w:rStyle w:val="OtherTok"/>
        </w:rPr>
        <w:t xml:space="preserve">&lt;-</w:t>
      </w:r>
      <w:r>
        <w:rPr>
          <w:rStyle w:val="NormalTok"/>
        </w:rPr>
        <w:t xml:space="preserve"> </w:t>
      </w:r>
      <w:r>
        <w:rPr>
          <w:rStyle w:val="FunctionTok"/>
        </w:rPr>
        <w:t xml:space="preserve">fit_metad</w:t>
      </w:r>
      <w:r>
        <w:rPr>
          <w:rStyle w:val="NormalTok"/>
        </w:rPr>
        <w:t xml:space="preserve">(</w:t>
      </w:r>
      <w:r>
        <w:br/>
      </w:r>
      <w:r>
        <w:rPr>
          <w:rStyle w:val="NormalTok"/>
        </w:rPr>
        <w:t xml:space="preserve">  formula, d,</w:t>
      </w:r>
      <w:r>
        <w:br/>
      </w:r>
      <w:r>
        <w:rPr>
          <w:rStyle w:val="NormalTok"/>
        </w:rPr>
        <w:t xml:space="preserve">  </w:t>
      </w:r>
      <w:r>
        <w:rPr>
          <w:rStyle w:val="AttributeTok"/>
        </w:rPr>
        <w:t xml:space="preserve">.stimulus =</w:t>
      </w:r>
      <w:r>
        <w:rPr>
          <w:rStyle w:val="NormalTok"/>
        </w:rPr>
        <w:t xml:space="preserve"> </w:t>
      </w:r>
      <w:r>
        <w:rPr>
          <w:rStyle w:val="StringTok"/>
        </w:rPr>
        <w:t xml:space="preserve">"stimulus_left"</w:t>
      </w:r>
      <w:r>
        <w:rPr>
          <w:rStyle w:val="NormalTok"/>
        </w:rPr>
        <w:t xml:space="preserve">, </w:t>
      </w:r>
      <w:r>
        <w:rPr>
          <w:rStyle w:val="AttributeTok"/>
        </w:rPr>
        <w:t xml:space="preserve">.response =</w:t>
      </w:r>
      <w:r>
        <w:rPr>
          <w:rStyle w:val="NormalTok"/>
        </w:rPr>
        <w:t xml:space="preserve"> </w:t>
      </w:r>
      <w:r>
        <w:rPr>
          <w:rStyle w:val="StringTok"/>
        </w:rPr>
        <w:t xml:space="preserve">"response_left"</w:t>
      </w:r>
      <w:r>
        <w:rPr>
          <w:rStyle w:val="NormalTok"/>
        </w:rPr>
        <w:t xml:space="preserve">,</w:t>
      </w:r>
      <w:r>
        <w:br/>
      </w:r>
      <w:r>
        <w:rPr>
          <w:rStyle w:val="NormalTok"/>
        </w:rPr>
        <w:t xml:space="preserve">  </w:t>
      </w:r>
      <w:r>
        <w:rPr>
          <w:rStyle w:val="AttributeTok"/>
        </w:rPr>
        <w:t xml:space="preserve">file =</w:t>
      </w:r>
      <w:r>
        <w:rPr>
          <w:rStyle w:val="NormalTok"/>
        </w:rPr>
        <w:t xml:space="preserve"> </w:t>
      </w:r>
      <w:r>
        <w:rPr>
          <w:rStyle w:val="StringTok"/>
        </w:rPr>
        <w:t xml:space="preserve">"_models/prior_stdnormal.rds"</w:t>
      </w:r>
      <w:r>
        <w:rPr>
          <w:rStyle w:val="NormalTok"/>
        </w:rPr>
        <w:t xml:space="preserve">, </w:t>
      </w:r>
      <w:r>
        <w:rPr>
          <w:rStyle w:val="AttributeTok"/>
        </w:rPr>
        <w:t xml:space="preserve">prior =</w:t>
      </w:r>
      <w:r>
        <w:rPr>
          <w:rStyle w:val="NormalTok"/>
        </w:rPr>
        <w:t xml:space="preserve"> prior, </w:t>
      </w:r>
      <w:r>
        <w:rPr>
          <w:rStyle w:val="AttributeTok"/>
        </w:rPr>
        <w:t xml:space="preserve">sample_prior =</w:t>
      </w:r>
      <w:r>
        <w:rPr>
          <w:rStyle w:val="NormalTok"/>
        </w:rPr>
        <w:t xml:space="preserve"> </w:t>
      </w:r>
      <w:r>
        <w:rPr>
          <w:rStyle w:val="StringTok"/>
        </w:rPr>
        <w:t xml:space="preserve">"only"</w:t>
      </w:r>
      <w:r>
        <w:rPr>
          <w:rStyle w:val="NormalTok"/>
        </w:rPr>
        <w:t xml:space="preserve">,</w:t>
      </w:r>
      <w:r>
        <w:br/>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 </w:t>
      </w:r>
      <w:r>
        <w:rPr>
          <w:rStyle w:val="AttributeTok"/>
        </w:rPr>
        <w:t xml:space="preserve">init =</w:t>
      </w:r>
      <w:r>
        <w:rPr>
          <w:rStyle w:val="NormalTok"/>
        </w:rPr>
        <w:t xml:space="preserve"> </w:t>
      </w:r>
      <w:r>
        <w:rPr>
          <w:rStyle w:val="DecValTok"/>
        </w:rPr>
        <w:t xml:space="preserve">0</w:t>
      </w:r>
      <w:r>
        <w:br/>
      </w:r>
      <w:r>
        <w:rPr>
          <w:rStyle w:val="NormalTok"/>
        </w:rPr>
        <w:t xml:space="preserve">)</w:t>
      </w:r>
    </w:p>
    <w:p>
      <w:pPr>
        <w:pStyle w:val="FirstParagraph"/>
      </w:pPr>
      <w:r>
        <w:t xml:space="preserve">Here we have chosen to save our prior model into a file called</w:t>
      </w:r>
      <w:r>
        <w:t xml:space="preserve"> </w:t>
      </w:r>
      <w:r>
        <w:rPr>
          <w:rStyle w:val="VerbatimChar"/>
        </w:rPr>
        <w:t xml:space="preserve">prior_stdnormal.rds</w:t>
      </w:r>
      <w:r>
        <w:t xml:space="preserve">, to run Stan in parallel across four cores, and to initialize all parameters to zero. Like any other</w:t>
      </w:r>
      <w:r>
        <w:t xml:space="preserve"> </w:t>
      </w:r>
      <w:r>
        <w:rPr>
          <w:rStyle w:val="VerbatimChar"/>
        </w:rPr>
        <w:t xml:space="preserve">brms</w:t>
      </w:r>
      <w:r>
        <w:t xml:space="preserve"> </w:t>
      </w:r>
      <w:r>
        <w:t xml:space="preserve">object, we can view helpful summaries of our model using the</w:t>
      </w:r>
      <w:r>
        <w:t xml:space="preserve"> </w:t>
      </w:r>
      <w:r>
        <w:rPr>
          <w:rStyle w:val="VerbatimChar"/>
        </w:rPr>
        <w:t xml:space="preserve">summary</w:t>
      </w:r>
      <w:r>
        <w:t xml:space="preserve"> </w:t>
      </w:r>
      <w:r>
        <w:t xml:space="preserve">and</w:t>
      </w:r>
      <w:r>
        <w:t xml:space="preserve"> </w:t>
      </w:r>
      <w:r>
        <w:rPr>
          <w:rStyle w:val="VerbatimChar"/>
        </w:rPr>
        <w:t xml:space="preserve">plot</w:t>
      </w:r>
      <w:r>
        <w:t xml:space="preserve"> </w:t>
      </w:r>
      <w:r>
        <w:t xml:space="preserve">functions. Since this model has a large number of parameters, however, it is easier to check the implications of this prior distribution by plotting out distributions of model parameters and other implied quantities.</w:t>
      </w:r>
    </w:p>
    <w:p>
      <w:pPr>
        <w:pStyle w:val="BodyText"/>
      </w:pPr>
      <w:r>
        <w:t xml:space="preserve">The</w:t>
      </w:r>
      <w:r>
        <w:t xml:space="preserve"> </w:t>
      </w:r>
      <w:r>
        <w:rPr>
          <w:rStyle w:val="VerbatimChar"/>
        </w:rPr>
        <w:t xml:space="preserve">hmetad</w:t>
      </w:r>
      <w:r>
        <w:t xml:space="preserve"> </w:t>
      </w:r>
      <w:r>
        <w:t xml:space="preserve">package has a range of functions for extracting such model quantities, all of which contain either</w:t>
      </w:r>
      <w:r>
        <w:t xml:space="preserve"> </w:t>
      </w:r>
      <w:r>
        <w:rPr>
          <w:rStyle w:val="VerbatimChar"/>
        </w:rPr>
        <w:t xml:space="preserve">_draws</w:t>
      </w:r>
      <w:r>
        <w:t xml:space="preserve"> </w:t>
      </w:r>
      <w:r>
        <w:t xml:space="preserve">or</w:t>
      </w:r>
      <w:r>
        <w:t xml:space="preserve"> </w:t>
      </w:r>
      <w:r>
        <w:rPr>
          <w:rStyle w:val="VerbatimChar"/>
        </w:rPr>
        <w:t xml:space="preserve">_rvars</w:t>
      </w:r>
      <w:r>
        <w:t xml:space="preserve"> </w:t>
      </w:r>
      <w:r>
        <w:t xml:space="preserve">following conventions from the</w:t>
      </w:r>
      <w:r>
        <w:t xml:space="preserve"> </w:t>
      </w:r>
      <w:r>
        <w:rPr>
          <w:rStyle w:val="VerbatimChar"/>
        </w:rPr>
        <w:t xml:space="preserve">tidybayes</w:t>
      </w:r>
      <w:r>
        <w:t xml:space="preserve"> </w:t>
      </w:r>
      <w:r>
        <w:t xml:space="preserve">package</w:t>
      </w:r>
      <w:r>
        <w:t xml:space="preserve"> </w:t>
      </w:r>
      <w:r>
        <w:t xml:space="preserve">(</w:t>
      </w:r>
      <w:hyperlink w:anchor="ref-tidybayes">
        <w:r>
          <w:rPr>
            <w:rStyle w:val="Hyperlink"/>
          </w:rPr>
          <w:t xml:space="preserve">Kay, 2024</w:t>
        </w:r>
      </w:hyperlink>
      <w:r>
        <w:t xml:space="preserve">)</w:t>
      </w:r>
      <w:r>
        <w:t xml:space="preserve">. Each of these functions takes as input a</w:t>
      </w:r>
      <w:r>
        <w:t xml:space="preserve"> </w:t>
      </w:r>
      <w:r>
        <w:rPr>
          <w:rStyle w:val="VerbatimChar"/>
        </w:rPr>
        <w:t xml:space="preserve">brms</w:t>
      </w:r>
      <w:r>
        <w:t xml:space="preserve"> </w:t>
      </w:r>
      <w:r>
        <w:t xml:space="preserve">model and a new dataset from which to compute predictions. To check our priors for the group-level parameters, we can first display the prior distributions of model parameters using the function</w:t>
      </w:r>
      <w:r>
        <w:t xml:space="preserve"> </w:t>
      </w:r>
      <w:r>
        <w:rPr>
          <w:rStyle w:val="VerbatimChar"/>
        </w:rPr>
        <w:t xml:space="preserve">linpred_rvars_metad</w:t>
      </w:r>
      <w:r>
        <w:t xml:space="preserve"> </w:t>
      </w:r>
      <w:r>
        <w:t xml:space="preserve">over a sample dataset where anxious-depression is set to zero (i.e., its mean value) and</w:t>
      </w:r>
      <w:r>
        <w:t xml:space="preserve"> </w:t>
      </w:r>
      <w:r>
        <w:rPr>
          <w:rStyle w:val="VerbatimChar"/>
        </w:rPr>
        <w:t xml:space="preserve">tidybayes::median_qi</w:t>
      </w:r>
      <w:r>
        <w:t xml:space="preserve"> </w:t>
      </w:r>
      <w:r>
        <w:t xml:space="preserve">to display prior medians and 95% credible intervals:</w:t>
      </w:r>
    </w:p>
    <w:p>
      <w:pPr>
        <w:pStyle w:val="SourceCode"/>
      </w:pPr>
      <w:r>
        <w:rPr>
          <w:rStyle w:val="NormalTok"/>
        </w:rPr>
        <w:t xml:space="preserve">newdata </w:t>
      </w:r>
      <w:r>
        <w:rPr>
          <w:rStyle w:val="OtherTok"/>
        </w:rPr>
        <w:t xml:space="preserve">&lt;-</w:t>
      </w:r>
      <w:r>
        <w:rPr>
          <w:rStyle w:val="NormalTok"/>
        </w:rPr>
        <w:t xml:space="preserve"> </w:t>
      </w:r>
      <w:r>
        <w:rPr>
          <w:rStyle w:val="FunctionTok"/>
        </w:rPr>
        <w:t xml:space="preserve">tibble</w:t>
      </w:r>
      <w:r>
        <w:rPr>
          <w:rStyle w:val="NormalTok"/>
        </w:rPr>
        <w:t xml:space="preserve">(</w:t>
      </w:r>
      <w:r>
        <w:rPr>
          <w:rStyle w:val="AttributeTok"/>
        </w:rPr>
        <w:t xml:space="preserve">anxious_depression =</w:t>
      </w:r>
      <w:r>
        <w:rPr>
          <w:rStyle w:val="NormalTok"/>
        </w:rPr>
        <w:t xml:space="preserve"> </w:t>
      </w:r>
      <w:r>
        <w:rPr>
          <w:rStyle w:val="DecValTok"/>
        </w:rPr>
        <w:t xml:space="preserve">0</w:t>
      </w:r>
      <w:r>
        <w:rPr>
          <w:rStyle w:val="NormalTok"/>
        </w:rPr>
        <w:t xml:space="preserve">)</w:t>
      </w:r>
      <w:r>
        <w:br/>
      </w:r>
      <w:r>
        <w:br/>
      </w:r>
      <w:r>
        <w:rPr>
          <w:rStyle w:val="FunctionTok"/>
        </w:rPr>
        <w:t xml:space="preserve">linpred_rvars_metad</w:t>
      </w:r>
      <w:r>
        <w:rPr>
          <w:rStyle w:val="NormalTok"/>
        </w:rPr>
        <w:t xml:space="preserve">(m.prior, newdata, </w:t>
      </w:r>
      <w:r>
        <w:rPr>
          <w:rStyle w:val="AttributeTok"/>
        </w:rPr>
        <w:t xml:space="preserve">re_formula =</w:t>
      </w:r>
      <w:r>
        <w:rPr>
          <w:rStyle w:val="NormalTok"/>
        </w:rPr>
        <w:t xml:space="preserve"> </w:t>
      </w:r>
      <w:r>
        <w:rPr>
          <w:rStyle w:val="ConstantTok"/>
        </w:rPr>
        <w:t xml:space="preserve">NA</w:t>
      </w:r>
      <w:r>
        <w:rPr>
          <w:rStyle w:val="NormalTok"/>
        </w:rPr>
        <w:t xml:space="preserve">, </w:t>
      </w:r>
      <w:r>
        <w:rPr>
          <w:rStyle w:val="AttributeTok"/>
        </w:rPr>
        <w:t xml:space="preserve">pivot_longer =</w:t>
      </w:r>
      <w:r>
        <w:rPr>
          <w:rStyle w:val="NormalTok"/>
        </w:rPr>
        <w:t xml:space="preserve"> </w:t>
      </w:r>
      <w:r>
        <w:rPr>
          <w:rStyle w:val="ConstantTok"/>
        </w:rPr>
        <w:t xml:space="preserve">TRUE</w:t>
      </w:r>
      <w:r>
        <w:rPr>
          <w:rStyle w:val="NormalTok"/>
        </w:rPr>
        <w:t xml:space="preserve">) </w:t>
      </w:r>
      <w:r>
        <w:rPr>
          <w:rStyle w:val="SpecialCharTok"/>
        </w:rPr>
        <w:t xml:space="preserve">|&gt;</w:t>
      </w:r>
      <w:r>
        <w:br/>
      </w:r>
      <w:r>
        <w:rPr>
          <w:rStyle w:val="NormalTok"/>
        </w:rPr>
        <w:t xml:space="preserve">  </w:t>
      </w:r>
      <w:r>
        <w:rPr>
          <w:rStyle w:val="FunctionTok"/>
        </w:rPr>
        <w:t xml:space="preserve">median_qi</w:t>
      </w:r>
      <w:r>
        <w:rPr>
          <w:rStyle w:val="NormalTok"/>
        </w:rPr>
        <w:t xml:space="preserve">(.value)</w:t>
      </w:r>
    </w:p>
    <w:p>
      <w:pPr>
        <w:pStyle w:val="SourceCode"/>
      </w:pPr>
      <w:r>
        <w:rPr>
          <w:rStyle w:val="VerbatimChar"/>
        </w:rPr>
        <w:t xml:space="preserve"># A tibble: 15 × 9</w:t>
      </w:r>
      <w:r>
        <w:br/>
      </w:r>
      <w:r>
        <w:rPr>
          <w:rStyle w:val="VerbatimChar"/>
        </w:rPr>
        <w:t xml:space="preserve">   anxious_depression  .row .variable      .value   .lower .upper .width .point</w:t>
      </w:r>
      <w:r>
        <w:br/>
      </w:r>
      <w:r>
        <w:rPr>
          <w:rStyle w:val="VerbatimChar"/>
        </w:rPr>
        <w:t xml:space="preserve">                &lt;dbl&gt; &lt;int&gt; &lt;chr&gt;           &lt;dbl&gt;    &lt;dbl&gt;  &lt;dbl&gt;  &lt;dbl&gt; &lt;chr&gt; </w:t>
      </w:r>
      <w:r>
        <w:br/>
      </w:r>
      <w:r>
        <w:rPr>
          <w:rStyle w:val="VerbatimChar"/>
        </w:rPr>
        <w:t xml:space="preserve"> 1                  0     1 M            1.00       0.513   1.94    0.95 median</w:t>
      </w:r>
      <w:r>
        <w:br/>
      </w:r>
      <w:r>
        <w:rPr>
          <w:rStyle w:val="VerbatimChar"/>
        </w:rPr>
        <w:t xml:space="preserve"> 2                  0     1 dprime       1.11       0.921   1.31    0.95 median</w:t>
      </w:r>
      <w:r>
        <w:br/>
      </w:r>
      <w:r>
        <w:rPr>
          <w:rStyle w:val="VerbatimChar"/>
        </w:rPr>
        <w:t xml:space="preserve"> 3                  0     1 c           -0.000103  -0.205   0.201   0.95 median</w:t>
      </w:r>
      <w:r>
        <w:br/>
      </w:r>
      <w:r>
        <w:rPr>
          <w:rStyle w:val="VerbatimChar"/>
        </w:rPr>
        <w:t xml:space="preserve"> 4                  0     1 meta_dprime  1.11       0.554   2.19    0.95 median</w:t>
      </w:r>
      <w:r>
        <w:br/>
      </w:r>
      <w:r>
        <w:rPr>
          <w:rStyle w:val="VerbatimChar"/>
        </w:rPr>
        <w:t xml:space="preserve"> 5                  0     1 meta_c      -0.000103  -0.205   0.201   0.95 median</w:t>
      </w:r>
      <w:r>
        <w:br/>
      </w:r>
      <w:r>
        <w:rPr>
          <w:rStyle w:val="VerbatimChar"/>
        </w:rPr>
        <w:t xml:space="preserve"> 6                  0     1 meta_c2_0_1 -0.989     -7.06   -0.111   0.95 median</w:t>
      </w:r>
      <w:r>
        <w:br/>
      </w:r>
      <w:r>
        <w:rPr>
          <w:rStyle w:val="VerbatimChar"/>
        </w:rPr>
        <w:t xml:space="preserve"> 7                  0     1 meta_c2_0_2 -2.44     -11.1    -0.577   0.95 median</w:t>
      </w:r>
      <w:r>
        <w:br/>
      </w:r>
      <w:r>
        <w:rPr>
          <w:rStyle w:val="VerbatimChar"/>
        </w:rPr>
        <w:t xml:space="preserve"> 8                  0     1 meta_c2_0_3 -3.98     -14.6    -1.18    0.95 median</w:t>
      </w:r>
      <w:r>
        <w:br/>
      </w:r>
      <w:r>
        <w:rPr>
          <w:rStyle w:val="VerbatimChar"/>
        </w:rPr>
        <w:t xml:space="preserve"> 9                  0     1 meta_c2_0_4 -5.47     -17.4    -1.88    0.95 median</w:t>
      </w:r>
      <w:r>
        <w:br/>
      </w:r>
      <w:r>
        <w:rPr>
          <w:rStyle w:val="VerbatimChar"/>
        </w:rPr>
        <w:t xml:space="preserve">10                  0     1 meta_c2_0_5 -7.02     -20.4    -2.69    0.95 median</w:t>
      </w:r>
      <w:r>
        <w:br/>
      </w:r>
      <w:r>
        <w:rPr>
          <w:rStyle w:val="VerbatimChar"/>
        </w:rPr>
        <w:t xml:space="preserve">11                  0     1 meta_c2_1_1  0.998      0.1000  6.92    0.95 median</w:t>
      </w:r>
      <w:r>
        <w:br/>
      </w:r>
      <w:r>
        <w:rPr>
          <w:rStyle w:val="VerbatimChar"/>
        </w:rPr>
        <w:t xml:space="preserve">12                  0     1 meta_c2_1_2  2.44       0.545  11.8     0.95 median</w:t>
      </w:r>
      <w:r>
        <w:br/>
      </w:r>
      <w:r>
        <w:rPr>
          <w:rStyle w:val="VerbatimChar"/>
        </w:rPr>
        <w:t xml:space="preserve">13                  0     1 meta_c2_1_3  3.95       1.11   14.8     0.95 median</w:t>
      </w:r>
      <w:r>
        <w:br/>
      </w:r>
      <w:r>
        <w:rPr>
          <w:rStyle w:val="VerbatimChar"/>
        </w:rPr>
        <w:t xml:space="preserve">14                  0     1 meta_c2_1_4  5.48       1.81   18.4     0.95 median</w:t>
      </w:r>
      <w:r>
        <w:br/>
      </w:r>
      <w:r>
        <w:rPr>
          <w:rStyle w:val="VerbatimChar"/>
        </w:rPr>
        <w:t xml:space="preserve">15                  0     1 meta_c2_1_5  7.07       2.74   20.6     0.95 median</w:t>
      </w:r>
      <w:r>
        <w:br/>
      </w:r>
      <w:r>
        <w:rPr>
          <w:rStyle w:val="VerbatimChar"/>
        </w:rPr>
        <w:t xml:space="preserve"># ℹ 1 more variable: .interval &lt;chr&gt;</w:t>
      </w:r>
    </w:p>
    <w:p>
      <w:pPr>
        <w:pStyle w:val="FirstParagraph"/>
      </w:pPr>
      <w:r>
        <w:t xml:space="preserve">Just by looking at the prior summary, we can see that this prior places reasonable bounds for mean</w:t>
      </w:r>
      <w:r>
        <w:t xml:space="preserve"> </w:t>
      </w:r>
      <m:oMath>
        <m:r>
          <m:t>M</m:t>
        </m:r>
      </m:oMath>
      <w:r>
        <w:t xml:space="preserve">-ratio,</w:t>
      </w:r>
      <w:r>
        <w:t xml:space="preserve"> </w:t>
      </w:r>
      <m:oMath>
        <m:sSup>
          <m:e>
            <m:r>
              <m:t>d</m:t>
            </m:r>
          </m:e>
          <m:sup>
            <m:r>
              <m:rPr>
                <m:sty m:val="p"/>
              </m:rPr>
              <m:t>′</m:t>
            </m:r>
          </m:sup>
        </m:sSup>
      </m:oMath>
      <w:r>
        <w:t xml:space="preserve">, and</w:t>
      </w:r>
      <w:r>
        <w:t xml:space="preserve"> </w:t>
      </w:r>
      <m:oMath>
        <m:r>
          <m:t>c</m:t>
        </m:r>
      </m:oMath>
      <w:r>
        <w:t xml:space="preserve">. We can also see that our priors for the mean Type II criteria are ordered appropriately with a substantial degree of uncertainty, though it is still not immediately clear whether these values are plausible. Note that, in this code, participant-level differences are ignored by setting</w:t>
      </w:r>
      <w:r>
        <w:t xml:space="preserve"> </w:t>
      </w:r>
      <w:r>
        <w:rPr>
          <w:rStyle w:val="VerbatimChar"/>
        </w:rPr>
        <w:t xml:space="preserve">re_formula = NA</w:t>
      </w:r>
      <w:r>
        <w:t xml:space="preserve"> </w:t>
      </w:r>
      <w:r>
        <w:t xml:space="preserve">(otherwise,</w:t>
      </w:r>
      <w:r>
        <w:t xml:space="preserve"> </w:t>
      </w:r>
      <w:r>
        <w:rPr>
          <w:rStyle w:val="VerbatimChar"/>
        </w:rPr>
        <w:t xml:space="preserve">newdata</w:t>
      </w:r>
      <w:r>
        <w:t xml:space="preserve"> </w:t>
      </w:r>
      <w:r>
        <w:t xml:space="preserve">must contain a column called</w:t>
      </w:r>
      <w:r>
        <w:t xml:space="preserve"> </w:t>
      </w:r>
      <w:r>
        <w:rPr>
          <w:rStyle w:val="VerbatimChar"/>
        </w:rPr>
        <w:t xml:space="preserve">participant</w:t>
      </w:r>
      <w:r>
        <w:t xml:space="preserve"> </w:t>
      </w:r>
      <w:r>
        <w:t xml:space="preserve">containing the ID of the participant being simulated).</w:t>
      </w:r>
    </w:p>
    <w:p>
      <w:pPr>
        <w:pStyle w:val="BodyText"/>
      </w:pPr>
      <w:r>
        <w:t xml:space="preserve">As a further check, we can compute the implied Type II response probabilities using the analogous function</w:t>
      </w:r>
      <w:r>
        <w:t xml:space="preserve"> </w:t>
      </w:r>
      <w:r>
        <w:rPr>
          <w:rStyle w:val="VerbatimChar"/>
        </w:rPr>
        <w:t xml:space="preserve">type2_rvars(m.prior, newdata, re_formula = NA, by_correct = TRUE)</w:t>
      </w:r>
      <w:r>
        <w:t xml:space="preserve"> </w:t>
      </w:r>
      <w:r>
        <w:t xml:space="preserve">(see</w:t>
      </w:r>
      <w:r>
        <w:t xml:space="preserve"> </w:t>
      </w:r>
      <w:hyperlink w:anchor="fig-type2-prior">
        <w:r>
          <w:rPr>
            <w:rStyle w:val="Hyperlink"/>
          </w:rPr>
          <w:t xml:space="preserve">Figure 4</w:t>
        </w:r>
      </w:hyperlink>
      <w:r>
        <w:t xml:space="preserve">A). From this figure, it is clear that the standard normal priors for the confidence criteria place far too much probability on low-confidence responses, such that the maximum confidence level has almost no prior probability. To fix this issue, we iteratively adjusted the prior mean until the prior predictions appear suitable. This process revealed that a prior mean of -1.33 generated prior predictions that put roughly equal probability on each confidence level for correct responses, together with a slight preference for low confidence for incorrect responses (</w:t>
      </w:r>
      <w:hyperlink w:anchor="fig-type2-prior">
        <w:r>
          <w:rPr>
            <w:rStyle w:val="Hyperlink"/>
          </w:rPr>
          <w:t xml:space="preserve">Figure 4</w:t>
        </w:r>
      </w:hyperlink>
      <w:r>
        <w:t xml:space="preserve">B). This is a reasonable starting point.</w:t>
      </w:r>
    </w:p>
    <w:p>
      <w:pPr>
        <w:pStyle w:val="BodyText"/>
      </w:pPr>
      <w:r>
        <w:t xml:space="preserve">Critically, it is necessary to tune the prior for the Type II criteria through iterative refinement and visualization, because models with different number of confidence criteria require different parameter values to produce roughly uniform confidence responding. As an example, if we use the same prior for a hypothetical dataset with only two confidence levels, the resulting prior predictions strongly favor high-confidence responding (</w:t>
      </w:r>
      <w:hyperlink w:anchor="fig-type2-prior">
        <w:r>
          <w:rPr>
            <w:rStyle w:val="Hyperlink"/>
          </w:rPr>
          <w:t xml:space="preserve">Figure 4</w:t>
        </w:r>
      </w:hyperlink>
      <w:r>
        <w:t xml:space="preserve">C). In this scenario, it would be sensible to increase the prior mean of the confidence criteria until the prior predictions more closely resembled our expectations.</w:t>
      </w:r>
    </w:p>
    <w:bookmarkStart w:id="77" w:name="fig-type2-prior"/>
    <w:p>
      <w:pPr>
        <w:pStyle w:val="FigureTitle"/>
      </w:pPr>
      <w:r>
        <w:t xml:space="preserve">Figure 4</w:t>
      </w:r>
    </w:p>
    <w:p>
      <w:pPr>
        <w:pStyle w:val="Caption"/>
      </w:pPr>
      <w:r>
        <w:t xml:space="preserve">Prior predictions of Type II response probabilities.</w:t>
      </w:r>
      <w:r>
        <w:t xml:space="preserve"> </w:t>
      </w:r>
      <w:r>
        <w:rPr>
          <w:i/>
          <w:iCs/>
        </w:rPr>
        <w:t xml:space="preserve">(A)</w:t>
      </w:r>
      <w:r>
        <w:t xml:space="preserve"> </w:t>
      </w:r>
      <w:r>
        <w:t xml:space="preserve">Group-level prior predictions with anxious-depression at the mean, using a standard normal prior for the distances between confidence criteria on the logarithmic scale. These predictions are highly skewed to favor low-confidence responses, suggesting that these confidence criteria are too far apart.</w:t>
      </w:r>
      <w:r>
        <w:t xml:space="preserve"> </w:t>
      </w:r>
      <w:r>
        <w:rPr>
          <w:i/>
          <w:iCs/>
        </w:rPr>
        <w:t xml:space="preserve">(B)</w:t>
      </w:r>
      <w:r>
        <w:t xml:space="preserve"> </w:t>
      </w:r>
      <w:r>
        <w:t xml:space="preserve">Group-level prior predictions using a revised prior with the mean distance between criteria reduced to -1.33 on the logarithmic scale. Prior predictions are now mostly uniform, with a slight preference for low confidence following incorrect responses.</w:t>
      </w:r>
      <w:r>
        <w:t xml:space="preserve"> </w:t>
      </w:r>
      <w:r>
        <w:rPr>
          <w:i/>
          <w:iCs/>
        </w:rPr>
        <w:t xml:space="preserve">(C)</w:t>
      </w:r>
      <w:r>
        <w:t xml:space="preserve"> </w:t>
      </w:r>
      <w:r>
        <w:t xml:space="preserve">Group-level prior predictions using the same prior as in</w:t>
      </w:r>
      <w:r>
        <w:t xml:space="preserve"> </w:t>
      </w:r>
      <w:r>
        <w:rPr>
          <w:i/>
          <w:iCs/>
        </w:rPr>
        <w:t xml:space="preserve">(B)</w:t>
      </w:r>
      <w:r>
        <w:t xml:space="preserve">, only for a dataset with two confidence levels. Unlike in</w:t>
      </w:r>
      <w:r>
        <w:t xml:space="preserve"> </w:t>
      </w:r>
      <w:r>
        <w:rPr>
          <w:i/>
          <w:iCs/>
        </w:rPr>
        <w:t xml:space="preserve">(B)</w:t>
      </w:r>
      <w:r>
        <w:t xml:space="preserve">, this prior favors high confidence ratings and should likely be adjusted before use.</w:t>
      </w:r>
      <w:r>
        <w:t xml:space="preserve"> </w:t>
      </w:r>
      <w:r>
        <w:rPr>
          <w:i/>
          <w:iCs/>
        </w:rPr>
        <w:t xml:space="preserve">(D)</w:t>
      </w:r>
      <w:r>
        <w:t xml:space="preserve"> </w:t>
      </w:r>
      <w:r>
        <w:t xml:space="preserve">Participant-level prior predictions using the same prior as in</w:t>
      </w:r>
      <w:r>
        <w:t xml:space="preserve"> </w:t>
      </w:r>
      <w:r>
        <w:rPr>
          <w:i/>
          <w:iCs/>
        </w:rPr>
        <w:t xml:space="preserve">(B)</w:t>
      </w:r>
      <w:r>
        <w:t xml:space="preserve"> </w:t>
      </w:r>
      <w:r>
        <w:t xml:space="preserve">for an example participant.</w:t>
      </w:r>
    </w:p>
    <w:p>
      <w:pPr>
        <w:pStyle w:val="FigureWithNote"/>
      </w:pPr>
      <w:r>
        <w:drawing>
          <wp:inline>
            <wp:extent cx="5943600" cy="2971800"/>
            <wp:effectExtent b="0" l="0" r="0" t="0"/>
            <wp:docPr descr="" title="" id="74" name="Picture"/>
            <a:graphic>
              <a:graphicData uri="http://schemas.openxmlformats.org/drawingml/2006/picture">
                <pic:pic>
                  <pic:nvPicPr>
                    <pic:cNvPr descr="index_files/figure-docx/fig-type2-prior-1.svg" id="75" name="Picture"/>
                    <pic:cNvPicPr>
                      <a:picLocks noChangeArrowheads="1" noChangeAspect="1"/>
                    </pic:cNvPicPr>
                  </pic:nvPicPr>
                  <pic:blipFill>
                    <a:blip r:embed="rId76">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943600" cy="2971800"/>
                    </a:xfrm>
                    <a:prstGeom prst="rect">
                      <a:avLst/>
                    </a:prstGeom>
                    <a:noFill/>
                    <a:ln w="9525">
                      <a:noFill/>
                      <a:headEnd/>
                      <a:tailEnd/>
                    </a:ln>
                  </pic:spPr>
                </pic:pic>
              </a:graphicData>
            </a:graphic>
          </wp:inline>
        </w:drawing>
      </w:r>
    </w:p>
    <w:bookmarkEnd w:id="77"/>
    <w:p>
      <w:pPr>
        <w:pStyle w:val="FigureNote"/>
      </w:pPr>
      <w:r>
        <w:rPr>
          <w:i/>
          <w:iCs/>
        </w:rPr>
        <w:t xml:space="preserve">Note</w:t>
      </w:r>
      <w:r>
        <w:t xml:space="preserve">. Points and intervals indicate prior medians and 95% credible intervals. Smoothed bars depict complementary cumulative distribution function of prior distributions.</w:t>
      </w:r>
    </w:p>
    <w:p>
      <w:pPr>
        <w:pStyle w:val="BodyText"/>
      </w:pPr>
      <w:r>
        <w:t xml:space="preserve">Having settled on a prior for the group-level confidence criteria, we next visualize priors for participant-level standard deviations by simulating just a single participant (since all participants are equivalent</w:t>
      </w:r>
      <w:r>
        <w:t xml:space="preserve"> </w:t>
      </w:r>
      <w:r>
        <w:rPr>
          <w:i/>
          <w:iCs/>
        </w:rPr>
        <w:t xml:space="preserve">a priori</w:t>
      </w:r>
      <w:r>
        <w:t xml:space="preserve">):</w:t>
      </w:r>
    </w:p>
    <w:p>
      <w:pPr>
        <w:pStyle w:val="SourceCode"/>
      </w:pPr>
      <w:r>
        <w:rPr>
          <w:rStyle w:val="NormalTok"/>
        </w:rPr>
        <w:t xml:space="preserve">newdata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participant =</w:t>
      </w:r>
      <w:r>
        <w:rPr>
          <w:rStyle w:val="NormalTok"/>
        </w:rPr>
        <w:t xml:space="preserve"> </w:t>
      </w:r>
      <w:r>
        <w:rPr>
          <w:rStyle w:val="FunctionTok"/>
        </w:rPr>
        <w:t xml:space="preserve">first</w:t>
      </w:r>
      <w:r>
        <w:rPr>
          <w:rStyle w:val="NormalTok"/>
        </w:rPr>
        <w:t xml:space="preserve">(d</w:t>
      </w:r>
      <w:r>
        <w:rPr>
          <w:rStyle w:val="SpecialCharTok"/>
        </w:rPr>
        <w:t xml:space="preserve">$</w:t>
      </w:r>
      <w:r>
        <w:rPr>
          <w:rStyle w:val="NormalTok"/>
        </w:rPr>
        <w:t xml:space="preserve">participant)) </w:t>
      </w:r>
      <w:r>
        <w:rPr>
          <w:rStyle w:val="SpecialCharTok"/>
        </w:rPr>
        <w:t xml:space="preserve">|&gt;</w:t>
      </w:r>
      <w:r>
        <w:br/>
      </w:r>
      <w:r>
        <w:rPr>
          <w:rStyle w:val="NormalTok"/>
        </w:rPr>
        <w:t xml:space="preserve">  </w:t>
      </w:r>
      <w:r>
        <w:rPr>
          <w:rStyle w:val="FunctionTok"/>
        </w:rPr>
        <w:t xml:space="preserve">add_linpred_rvars_metad</w:t>
      </w:r>
      <w:r>
        <w:rPr>
          <w:rStyle w:val="NormalTok"/>
        </w:rPr>
        <w:t xml:space="preserve">(m.prior, </w:t>
      </w:r>
      <w:r>
        <w:rPr>
          <w:rStyle w:val="AttributeTok"/>
        </w:rPr>
        <w:t xml:space="preserve">pivot_longer =</w:t>
      </w:r>
      <w:r>
        <w:rPr>
          <w:rStyle w:val="NormalTok"/>
        </w:rPr>
        <w:t xml:space="preserve"> </w:t>
      </w:r>
      <w:r>
        <w:rPr>
          <w:rStyle w:val="ConstantTok"/>
        </w:rPr>
        <w:t xml:space="preserve">TRUE</w:t>
      </w:r>
      <w:r>
        <w:rPr>
          <w:rStyle w:val="NormalTok"/>
        </w:rPr>
        <w:t xml:space="preserve">) </w:t>
      </w:r>
      <w:r>
        <w:rPr>
          <w:rStyle w:val="SpecialCharTok"/>
        </w:rPr>
        <w:t xml:space="preserve">|&gt;</w:t>
      </w:r>
      <w:r>
        <w:br/>
      </w:r>
      <w:r>
        <w:rPr>
          <w:rStyle w:val="NormalTok"/>
        </w:rPr>
        <w:t xml:space="preserve">  </w:t>
      </w:r>
      <w:r>
        <w:rPr>
          <w:rStyle w:val="FunctionTok"/>
        </w:rPr>
        <w:t xml:space="preserve">median_qi</w:t>
      </w:r>
      <w:r>
        <w:rPr>
          <w:rStyle w:val="NormalTok"/>
        </w:rPr>
        <w:t xml:space="preserve">(.value)</w:t>
      </w:r>
    </w:p>
    <w:p>
      <w:pPr>
        <w:pStyle w:val="SourceCode"/>
      </w:pPr>
      <w:r>
        <w:rPr>
          <w:rStyle w:val="VerbatimChar"/>
        </w:rPr>
        <w:t xml:space="preserve"># A tibble: 15 × 10</w:t>
      </w:r>
      <w:r>
        <w:br/>
      </w:r>
      <w:r>
        <w:rPr>
          <w:rStyle w:val="VerbatimChar"/>
        </w:rPr>
        <w:t xml:space="preserve">   anxious_depression participant  .row .variable     .value    .lower   .upper</w:t>
      </w:r>
      <w:r>
        <w:br/>
      </w:r>
      <w:r>
        <w:rPr>
          <w:rStyle w:val="VerbatimChar"/>
        </w:rPr>
        <w:t xml:space="preserve">                &lt;dbl&gt; &lt;fct&gt;       &lt;int&gt; &lt;chr&gt;          &lt;dbl&gt;     &lt;dbl&gt;    &lt;dbl&gt;</w:t>
      </w:r>
      <w:r>
        <w:br/>
      </w:r>
      <w:r>
        <w:rPr>
          <w:rStyle w:val="VerbatimChar"/>
        </w:rPr>
        <w:t xml:space="preserve"> 1                  0 1015841         1 M            0.995     0.309    3.29   </w:t>
      </w:r>
      <w:r>
        <w:br/>
      </w:r>
      <w:r>
        <w:rPr>
          <w:rStyle w:val="VerbatimChar"/>
        </w:rPr>
        <w:t xml:space="preserve"> 2                  0 1015841         1 dprime       1.11      0.419    1.84   </w:t>
      </w:r>
      <w:r>
        <w:br/>
      </w:r>
      <w:r>
        <w:rPr>
          <w:rStyle w:val="VerbatimChar"/>
        </w:rPr>
        <w:t xml:space="preserve"> 3                  0 1015841         1 c           -0.00194  -0.674    0.744  </w:t>
      </w:r>
      <w:r>
        <w:br/>
      </w:r>
      <w:r>
        <w:rPr>
          <w:rStyle w:val="VerbatimChar"/>
        </w:rPr>
        <w:t xml:space="preserve"> 4                  0 1015841         1 meta_dprime  1.10      0.200    3.93   </w:t>
      </w:r>
      <w:r>
        <w:br/>
      </w:r>
      <w:r>
        <w:rPr>
          <w:rStyle w:val="VerbatimChar"/>
        </w:rPr>
        <w:t xml:space="preserve"> 5                  0 1015841         1 meta_c      -0.00194  -0.674    0.744  </w:t>
      </w:r>
      <w:r>
        <w:br/>
      </w:r>
      <w:r>
        <w:rPr>
          <w:rStyle w:val="VerbatimChar"/>
        </w:rPr>
        <w:t xml:space="preserve"> 6                  0 1015841         1 meta_c2_0_1 -0.326    -4.35     0.497  </w:t>
      </w:r>
      <w:r>
        <w:br/>
      </w:r>
      <w:r>
        <w:rPr>
          <w:rStyle w:val="VerbatimChar"/>
        </w:rPr>
        <w:t xml:space="preserve"> 7                  0 1015841         1 meta_c2_0_2 -0.755    -8.43     0.206  </w:t>
      </w:r>
      <w:r>
        <w:br/>
      </w:r>
      <w:r>
        <w:rPr>
          <w:rStyle w:val="VerbatimChar"/>
        </w:rPr>
        <w:t xml:space="preserve"> 8                  0 1015841         1 meta_c2_0_3 -1.25    -11.8     -0.00590</w:t>
      </w:r>
      <w:r>
        <w:br/>
      </w:r>
      <w:r>
        <w:rPr>
          <w:rStyle w:val="VerbatimChar"/>
        </w:rPr>
        <w:t xml:space="preserve"> 9                  0 1015841         1 meta_c2_0_4 -1.79    -16.7     -0.243  </w:t>
      </w:r>
      <w:r>
        <w:br/>
      </w:r>
      <w:r>
        <w:rPr>
          <w:rStyle w:val="VerbatimChar"/>
        </w:rPr>
        <w:t xml:space="preserve">10                  0 1015841         1 meta_c2_0_5 -2.34    -20.1     -0.467  </w:t>
      </w:r>
      <w:r>
        <w:br/>
      </w:r>
      <w:r>
        <w:rPr>
          <w:rStyle w:val="VerbatimChar"/>
        </w:rPr>
        <w:t xml:space="preserve">11                  0 1015841         1 meta_c2_1_1  0.333    -0.452    4.05   </w:t>
      </w:r>
      <w:r>
        <w:br/>
      </w:r>
      <w:r>
        <w:rPr>
          <w:rStyle w:val="VerbatimChar"/>
        </w:rPr>
        <w:t xml:space="preserve">12                  0 1015841         1 meta_c2_1_2  0.768    -0.225    7.37   </w:t>
      </w:r>
      <w:r>
        <w:br/>
      </w:r>
      <w:r>
        <w:rPr>
          <w:rStyle w:val="VerbatimChar"/>
        </w:rPr>
        <w:t xml:space="preserve">13                  0 1015841         1 meta_c2_1_3  1.27      0.00714 11.0    </w:t>
      </w:r>
      <w:r>
        <w:br/>
      </w:r>
      <w:r>
        <w:rPr>
          <w:rStyle w:val="VerbatimChar"/>
        </w:rPr>
        <w:t xml:space="preserve">14                  0 1015841         1 meta_c2_1_4  1.80      0.250   16.6    </w:t>
      </w:r>
      <w:r>
        <w:br/>
      </w:r>
      <w:r>
        <w:rPr>
          <w:rStyle w:val="VerbatimChar"/>
        </w:rPr>
        <w:t xml:space="preserve">15                  0 1015841         1 meta_c2_1_5  2.35      0.460   19.0    </w:t>
      </w:r>
      <w:r>
        <w:br/>
      </w:r>
      <w:r>
        <w:rPr>
          <w:rStyle w:val="VerbatimChar"/>
        </w:rPr>
        <w:t xml:space="preserve"># ℹ 3 more variables: .width &lt;dbl&gt;, .point &lt;chr&gt;, .interval &lt;chr&gt;</w:t>
      </w:r>
    </w:p>
    <w:p>
      <w:pPr>
        <w:pStyle w:val="FirstParagraph"/>
      </w:pPr>
      <w:r>
        <w:t xml:space="preserve">The resulting probabilities are plotted in</w:t>
      </w:r>
      <w:r>
        <w:t xml:space="preserve"> </w:t>
      </w:r>
      <w:hyperlink w:anchor="fig-type2-prior">
        <w:r>
          <w:rPr>
            <w:rStyle w:val="Hyperlink"/>
          </w:rPr>
          <w:t xml:space="preserve">Figure 4</w:t>
        </w:r>
      </w:hyperlink>
      <w:r>
        <w:t xml:space="preserve">D. Note that participant-level priors will always be centered around the population means, only with greater uncertainty. Just as with the population-level parameters, we can use visualizations like this to iteratively elicit prior distributions that reflect our beliefs about reasonable differences between participants. For instance, we can increase the participant-level standard deviations to allow a wider range of behaviors or alternatively decrease the participant-level standard deviations to encourage stronger similarity between participants. This strategy is also useful for setting priors for model coefficients, for example to visualize differences in prior distributions at different levels of anxious-depression.</w:t>
      </w:r>
    </w:p>
    <w:p>
      <w:pPr>
        <w:pStyle w:val="BodyText"/>
      </w:pPr>
      <w:r>
        <w:t xml:space="preserve">We end this section by highlighting two key points. First, there can be reasonable disagreement about the</w:t>
      </w:r>
      <w:r>
        <w:t xml:space="preserve"> </w:t>
      </w:r>
      <w:r>
        <w:t xml:space="preserve">“best”</w:t>
      </w:r>
      <w:r>
        <w:t xml:space="preserve"> </w:t>
      </w:r>
      <w:r>
        <w:t xml:space="preserve">prior to use in any given situation; as a result, one’s choice of prior need only be scientifically justifiable in the context of one’s particular study</w:t>
      </w:r>
      <w:r>
        <w:t xml:space="preserve"> </w:t>
      </w:r>
      <w:r>
        <w:t xml:space="preserve">(</w:t>
      </w:r>
      <w:hyperlink w:anchor="ref-mcelreath2016">
        <w:r>
          <w:rPr>
            <w:rStyle w:val="Hyperlink"/>
          </w:rPr>
          <w:t xml:space="preserve">McElreath et al.</w:t>
        </w:r>
        <w:r>
          <w:rPr>
            <w:rStyle w:val="Hyperlink"/>
          </w:rPr>
          <w:t xml:space="preserve">, 2016</w:t>
        </w:r>
      </w:hyperlink>
      <w:r>
        <w:t xml:space="preserve">)</w:t>
      </w:r>
      <w:r>
        <w:t xml:space="preserve">. Moreover, so long as the prior is not exceedingly informative, its influence on the resulting posterior should be small</w:t>
      </w:r>
      <w:r>
        <w:t xml:space="preserve"> </w:t>
      </w:r>
      <w:r>
        <w:t xml:space="preserve">(</w:t>
      </w:r>
      <w:hyperlink w:anchor="ref-kruschke2018">
        <w:r>
          <w:rPr>
            <w:rStyle w:val="Hyperlink"/>
          </w:rPr>
          <w:t xml:space="preserve">Kruschke &amp; Liddell, 2018</w:t>
        </w:r>
      </w:hyperlink>
      <w:r>
        <w:t xml:space="preserve">)</w:t>
      </w:r>
      <w:r>
        <w:t xml:space="preserve">. Second,</w:t>
      </w:r>
      <w:r>
        <w:t xml:space="preserve"> </w:t>
      </w:r>
      <w:r>
        <w:rPr>
          <w:b/>
          <w:bCs/>
        </w:rPr>
        <w:t xml:space="preserve">prior revision should always occur before looking at the data</w:t>
      </w:r>
      <w:r>
        <w:t xml:space="preserve">, since refining a prior after observing the data is a form of double-dipping tantamount to Bayesian</w:t>
      </w:r>
      <w:r>
        <w:t xml:space="preserve"> </w:t>
      </w:r>
      <m:oMath>
        <m:r>
          <m:t>p</m:t>
        </m:r>
      </m:oMath>
      <w:r>
        <w:t xml:space="preserve">-hacking. Incorporating thorough prior predictive checks into a standard workflow can help prevent such practices by ensuring that one’s model is validated before fitting it to data</w:t>
      </w:r>
      <w:r>
        <w:t xml:space="preserve"> </w:t>
      </w:r>
      <w:r>
        <w:t xml:space="preserve">(</w:t>
      </w:r>
      <w:hyperlink w:anchor="ref-gelman2026">
        <w:r>
          <w:rPr>
            <w:rStyle w:val="Hyperlink"/>
          </w:rPr>
          <w:t xml:space="preserve">Gelman et al.</w:t>
        </w:r>
        <w:r>
          <w:rPr>
            <w:rStyle w:val="Hyperlink"/>
          </w:rPr>
          <w:t xml:space="preserve">, 2026</w:t>
        </w:r>
      </w:hyperlink>
      <w:r>
        <w:t xml:space="preserve">)</w:t>
      </w:r>
      <w:r>
        <w:t xml:space="preserve">.</w:t>
      </w:r>
    </w:p>
    <w:bookmarkEnd w:id="78"/>
    <w:bookmarkStart w:id="83" w:name="model-fitting"/>
    <w:p>
      <w:pPr>
        <w:pStyle w:val="Heading2"/>
      </w:pPr>
      <w:r>
        <w:t xml:space="preserve">Model fitting</w:t>
      </w:r>
    </w:p>
    <w:p>
      <w:pPr>
        <w:pStyle w:val="FirstParagraph"/>
      </w:pPr>
      <w:r>
        <w:t xml:space="preserve">Now that we have verified that our prior model is sufficient, we can fit the model to our data by calling the</w:t>
      </w:r>
      <w:r>
        <w:t xml:space="preserve"> </w:t>
      </w:r>
      <w:r>
        <w:rPr>
          <w:rStyle w:val="VerbatimChar"/>
        </w:rPr>
        <w:t xml:space="preserve">update</w:t>
      </w:r>
      <w:r>
        <w:t xml:space="preserve"> </w:t>
      </w:r>
      <w:r>
        <w:t xml:space="preserve">function on our prior model with the argument</w:t>
      </w:r>
      <w:r>
        <w:t xml:space="preserve"> </w:t>
      </w:r>
      <w:r>
        <w:rPr>
          <w:rStyle w:val="VerbatimChar"/>
        </w:rPr>
        <w:t xml:space="preserve">sample_prior = "no"</w:t>
      </w:r>
      <w:r>
        <w:t xml:space="preserve"> </w:t>
      </w:r>
      <w:r>
        <w:t xml:space="preserve">(alternatively, we could call</w:t>
      </w:r>
      <w:r>
        <w:t xml:space="preserve"> </w:t>
      </w:r>
      <w:r>
        <w:rPr>
          <w:rStyle w:val="VerbatimChar"/>
        </w:rPr>
        <w:t xml:space="preserve">fit_metad</w:t>
      </w:r>
      <w:r>
        <w:t xml:space="preserve"> </w:t>
      </w:r>
      <w:r>
        <w:t xml:space="preserve">function again, except this time removing the argument</w:t>
      </w:r>
      <w:r>
        <w:t xml:space="preserve"> </w:t>
      </w:r>
      <w:r>
        <w:rPr>
          <w:rStyle w:val="VerbatimChar"/>
        </w:rPr>
        <w:t xml:space="preserve">sample_prior = "only"</w:t>
      </w:r>
      <w:r>
        <w:t xml:space="preserve">). Note that the time it takes to fit a model is mostly dependent on the number of rows in the aggregated dataset (i.e., participants and within-participant conditions), not the number of trials. Most simple models should fit within a few minutes; however models with many predictors or models fit to large datasets such as this one may take over an hour. In such cases, we recommend using a smaller subset of the data during model development.</w:t>
      </w:r>
    </w:p>
    <w:p>
      <w:pPr>
        <w:pStyle w:val="SourceCode"/>
      </w:pPr>
      <w:r>
        <w:rPr>
          <w:rStyle w:val="NormalTok"/>
        </w:rPr>
        <w:t xml:space="preserve">m </w:t>
      </w:r>
      <w:r>
        <w:rPr>
          <w:rStyle w:val="OtherTok"/>
        </w:rPr>
        <w:t xml:space="preserve">&lt;-</w:t>
      </w:r>
      <w:r>
        <w:rPr>
          <w:rStyle w:val="NormalTok"/>
        </w:rPr>
        <w:t xml:space="preserve"> </w:t>
      </w:r>
      <w:r>
        <w:rPr>
          <w:rStyle w:val="FunctionTok"/>
        </w:rPr>
        <w:t xml:space="preserve">update</w:t>
      </w:r>
      <w:r>
        <w:rPr>
          <w:rStyle w:val="NormalTok"/>
        </w:rPr>
        <w:t xml:space="preserve">(m.prior, </w:t>
      </w:r>
      <w:r>
        <w:rPr>
          <w:rStyle w:val="AttributeTok"/>
        </w:rPr>
        <w:t xml:space="preserve">file =</w:t>
      </w:r>
      <w:r>
        <w:rPr>
          <w:rStyle w:val="NormalTok"/>
        </w:rPr>
        <w:t xml:space="preserve"> </w:t>
      </w:r>
      <w:r>
        <w:rPr>
          <w:rStyle w:val="StringTok"/>
        </w:rPr>
        <w:t xml:space="preserve">"_models/fit.rds"</w:t>
      </w:r>
      <w:r>
        <w:rPr>
          <w:rStyle w:val="NormalTok"/>
        </w:rPr>
        <w:t xml:space="preserve">, </w:t>
      </w:r>
      <w:r>
        <w:rPr>
          <w:rStyle w:val="AttributeTok"/>
        </w:rPr>
        <w:t xml:space="preserve">sample_prior =</w:t>
      </w:r>
      <w:r>
        <w:rPr>
          <w:rStyle w:val="NormalTok"/>
        </w:rPr>
        <w:t xml:space="preserve"> </w:t>
      </w:r>
      <w:r>
        <w:rPr>
          <w:rStyle w:val="StringTok"/>
        </w:rPr>
        <w:t xml:space="preserve">"no"</w:t>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w:t>
      </w:r>
    </w:p>
    <w:p>
      <w:pPr>
        <w:pStyle w:val="FirstParagraph"/>
      </w:pPr>
      <w:r>
        <w:t xml:space="preserve">Like any</w:t>
      </w:r>
      <w:r>
        <w:t xml:space="preserve"> </w:t>
      </w:r>
      <w:r>
        <w:rPr>
          <w:rStyle w:val="VerbatimChar"/>
        </w:rPr>
        <w:t xml:space="preserve">brms</w:t>
      </w:r>
      <w:r>
        <w:t xml:space="preserve"> </w:t>
      </w:r>
      <w:r>
        <w:t xml:space="preserve">model, we can obtain numerical and graphical summaries of the posterior distribution using</w:t>
      </w:r>
      <w:r>
        <w:t xml:space="preserve"> </w:t>
      </w:r>
      <w:r>
        <w:rPr>
          <w:rStyle w:val="VerbatimChar"/>
        </w:rPr>
        <w:t xml:space="preserve">summary(m)</w:t>
      </w:r>
      <w:r>
        <w:t xml:space="preserve"> </w:t>
      </w:r>
      <w:r>
        <w:t xml:space="preserve">and</w:t>
      </w:r>
      <w:r>
        <w:t xml:space="preserve"> </w:t>
      </w:r>
      <w:r>
        <w:rPr>
          <w:rStyle w:val="VerbatimChar"/>
        </w:rPr>
        <w:t xml:space="preserve">plot(m)</w:t>
      </w:r>
      <w:r>
        <w:t xml:space="preserve">. Before inspecting the fitted model, however, it is necessary to ensure that the model has converged properly.</w:t>
      </w:r>
    </w:p>
    <w:bookmarkStart w:id="82" w:name="model-convergence"/>
    <w:p>
      <w:pPr>
        <w:pStyle w:val="Heading3"/>
      </w:pPr>
      <w:r>
        <w:t xml:space="preserve">Model convergence</w:t>
      </w:r>
    </w:p>
    <w:p>
      <w:pPr>
        <w:pStyle w:val="FirstParagraph"/>
      </w:pPr>
      <w:r>
        <w:t xml:space="preserve">There several possible warning messages that one might encounter during model fitting. Some warnings, such as warnings about effective sample size, do not indicate serious problems with the model itself and can usually be resolved with minor adjustments (e.g., running the model for a larger number of iterations). But most of the diagnostics checked by Stan</w:t>
      </w:r>
      <w:r>
        <w:t xml:space="preserve"> </w:t>
      </w:r>
      <w:r>
        <w:rPr>
          <w:i/>
          <w:iCs/>
        </w:rPr>
        <w:t xml:space="preserve">do</w:t>
      </w:r>
      <w:r>
        <w:t xml:space="preserve"> </w:t>
      </w:r>
      <w:r>
        <w:t xml:space="preserve">indicate problems with the model that must be resolved before interpreting the resulting posterior. Here we will focus on one common issue resulting from hierarchical models: divergent transitions. For a detailed guide on resolving other model fitting issues, we recommend the Stan guide on convergence warnings (</w:t>
      </w:r>
      <w:hyperlink r:id="rId79">
        <w:r>
          <w:rPr>
            <w:rStyle w:val="Hyperlink"/>
          </w:rPr>
          <w:t xml:space="preserve">https://mc-stan.org/learn-stan/diagnostics-warnings.html</w:t>
        </w:r>
      </w:hyperlink>
      <w:r>
        <w:t xml:space="preserve">).</w:t>
      </w:r>
    </w:p>
    <w:p>
      <w:pPr>
        <w:pStyle w:val="BodyText"/>
      </w:pPr>
      <w:r>
        <w:t xml:space="preserve">In this case, R outputs the following warnings:</w:t>
      </w:r>
    </w:p>
    <w:p>
      <w:pPr>
        <w:pStyle w:val="SourceCode"/>
      </w:pPr>
      <w:r>
        <w:rPr>
          <w:rStyle w:val="VerbatimChar"/>
        </w:rPr>
        <w:t xml:space="preserve">Parts of the model have not converged (some Rhats are &gt; 1.05). Be careful when</w:t>
      </w:r>
      <w:r>
        <w:br/>
      </w:r>
      <w:r>
        <w:rPr>
          <w:rStyle w:val="VerbatimChar"/>
        </w:rPr>
        <w:t xml:space="preserve">analysing the results! We recommend running more iterations and/or setting</w:t>
      </w:r>
      <w:r>
        <w:br/>
      </w:r>
      <w:r>
        <w:rPr>
          <w:rStyle w:val="VerbatimChar"/>
        </w:rPr>
        <w:t xml:space="preserve">stronger priors.</w:t>
      </w:r>
      <w:r>
        <w:br/>
      </w:r>
      <w:r>
        <w:rPr>
          <w:rStyle w:val="VerbatimChar"/>
        </w:rPr>
        <w:t xml:space="preserve">There were 4000 divergent transitions after warmup.</w:t>
      </w:r>
      <w:r>
        <w:br/>
      </w:r>
      <w:r>
        <w:rPr>
          <w:rStyle w:val="VerbatimChar"/>
        </w:rPr>
        <w:t xml:space="preserve">Increasing adapt_delta above 0.8 may help. See</w:t>
      </w:r>
      <w:r>
        <w:br/>
      </w:r>
      <w:r>
        <w:rPr>
          <w:rStyle w:val="VerbatimChar"/>
        </w:rPr>
        <w:t xml:space="preserve">http://mc-stan.org/misc/warnings.html#divergent-transitions-after-warmup</w:t>
      </w:r>
    </w:p>
    <w:p>
      <w:pPr>
        <w:pStyle w:val="FirstParagraph"/>
      </w:pPr>
      <w:r>
        <w:t xml:space="preserve">When</w:t>
      </w:r>
      <w:r>
        <w:t xml:space="preserve"> </w:t>
      </w:r>
      <w:r>
        <w:rPr>
          <w:rStyle w:val="VerbatimChar"/>
        </w:rPr>
        <w:t xml:space="preserve">brms</w:t>
      </w:r>
      <w:r>
        <w:t xml:space="preserve"> </w:t>
      </w:r>
      <w:r>
        <w:t xml:space="preserve">outputs warnings that Stan has encountered divergent transitions, this is an indicator that the model’s posterior distribution has not been fully explored, meaning that the posterior samples under-represent the true posterior</w:t>
      </w:r>
      <w:r>
        <w:t xml:space="preserve"> </w:t>
      </w:r>
      <w:r>
        <w:t xml:space="preserve">(</w:t>
      </w:r>
      <w:hyperlink w:anchor="ref-betancourt2017">
        <w:r>
          <w:rPr>
            <w:rStyle w:val="Hyperlink"/>
          </w:rPr>
          <w:t xml:space="preserve">Betancourt, 2017</w:t>
        </w:r>
      </w:hyperlink>
      <w:r>
        <w:t xml:space="preserve">)</w:t>
      </w:r>
      <w:r>
        <w:t xml:space="preserve">.</w:t>
      </w:r>
      <w:r>
        <w:rPr>
          <w:rStyle w:val="FootnoteReference"/>
        </w:rPr>
        <w:footnoteReference w:id="80"/>
      </w:r>
      <w:r>
        <w:t xml:space="preserve"> </w:t>
      </w:r>
      <w:r>
        <w:t xml:space="preserve">If there are only a small number of divergent transitions, it may be sufficient to adjust Stan’s settings to enable more fine-grained sampling using the argument</w:t>
      </w:r>
      <w:r>
        <w:t xml:space="preserve"> </w:t>
      </w:r>
      <w:r>
        <w:rPr>
          <w:rStyle w:val="VerbatimChar"/>
        </w:rPr>
        <w:t xml:space="preserve">control = list(adapt_delta = &lt;adapt_delta&gt;)</w:t>
      </w:r>
      <w:r>
        <w:t xml:space="preserve"> </w:t>
      </w:r>
      <w:r>
        <w:t xml:space="preserve">(indeed, this is the default recommendation accompanied by warnings about divergent transitions). However, this approach will significantly slow down model fitting and is not guaranteed to resolve the issue.</w:t>
      </w:r>
    </w:p>
    <w:p>
      <w:pPr>
        <w:pStyle w:val="BodyText"/>
      </w:pPr>
      <w:r>
        <w:t xml:space="preserve">The first potential solution to this problem is to set more informative priors to help bound difficult posterior geometries</w:t>
      </w:r>
      <w:r>
        <w:t xml:space="preserve"> </w:t>
      </w:r>
      <w:r>
        <w:t xml:space="preserve">(</w:t>
      </w:r>
      <w:hyperlink w:anchor="ref-betancourt2017">
        <w:r>
          <w:rPr>
            <w:rStyle w:val="Hyperlink"/>
          </w:rPr>
          <w:t xml:space="preserve">Betancourt, 2017</w:t>
        </w:r>
      </w:hyperlink>
      <w:r>
        <w:t xml:space="preserve">)</w:t>
      </w:r>
      <w:r>
        <w:t xml:space="preserve">. By default,</w:t>
      </w:r>
      <w:r>
        <w:t xml:space="preserve"> </w:t>
      </w:r>
      <w:r>
        <w:rPr>
          <w:rStyle w:val="VerbatimChar"/>
        </w:rPr>
        <w:t xml:space="preserve">brms</w:t>
      </w:r>
      <w:r>
        <w:t xml:space="preserve"> </w:t>
      </w:r>
      <w:r>
        <w:t xml:space="preserve">uses Student-</w:t>
      </w:r>
      <m:oMath>
        <m:r>
          <m:t>t</m:t>
        </m:r>
      </m:oMath>
      <w:r>
        <w:t xml:space="preserve"> </w:t>
      </w:r>
      <w:r>
        <w:t xml:space="preserve">priors over intercepts and participant-level standard deviations and uninformative (i.e., flat) priors over all other parameters. Such uninformative priors not only are unlikely to represent one’s beliefs about the model parameters, but they also put substantial probability mass over implausible values (e.g., a flat prior over</w:t>
      </w:r>
      <w:r>
        <w:t xml:space="preserve"> </w:t>
      </w:r>
      <m:oMath>
        <m:r>
          <m:t>M</m:t>
        </m:r>
      </m:oMath>
      <w:r>
        <w:t xml:space="preserve">-ratio makes the values</w:t>
      </w:r>
      <w:r>
        <w:t xml:space="preserve"> </w:t>
      </w:r>
      <m:oMath>
        <m:r>
          <m:t>M</m:t>
        </m:r>
        <m:r>
          <m:rPr>
            <m:sty m:val="p"/>
          </m:rPr>
          <m:t>=</m:t>
        </m:r>
        <m:r>
          <m:t>1</m:t>
        </m:r>
      </m:oMath>
      <w:r>
        <w:t xml:space="preserve"> </w:t>
      </w:r>
      <w:r>
        <w:t xml:space="preserve">and</w:t>
      </w:r>
      <w:r>
        <w:t xml:space="preserve"> </w:t>
      </w:r>
      <m:oMath>
        <m:r>
          <m:t>M</m:t>
        </m:r>
        <m:r>
          <m:rPr>
            <m:sty m:val="p"/>
          </m:rPr>
          <m:t>=</m:t>
        </m:r>
        <m:r>
          <m:t>100000</m:t>
        </m:r>
      </m:oMath>
      <w:r>
        <w:t xml:space="preserve"> </w:t>
      </w:r>
      <w:r>
        <w:t xml:space="preserve">equally likely). To verify that priors have been set properly, it is helpful to check the output of</w:t>
      </w:r>
      <w:r>
        <w:t xml:space="preserve"> </w:t>
      </w:r>
      <w:r>
        <w:rPr>
          <w:rStyle w:val="VerbatimChar"/>
        </w:rPr>
        <w:t xml:space="preserve">prior_summary(m)</w:t>
      </w:r>
      <w:r>
        <w:t xml:space="preserve">. As described above, here we have chosen moderately informative priors based on knowledge about the experimental design. These constraints already help jointly identify the model parameters, so in this case constraining the prior further is unlikely to resolve convergence issues.</w:t>
      </w:r>
    </w:p>
    <w:p>
      <w:pPr>
        <w:pStyle w:val="BodyText"/>
      </w:pPr>
      <w:r>
        <w:t xml:space="preserve">Another potential solution is to investigate which parameters exhibit problematic posterior geometry and eliminate them from the model</w:t>
      </w:r>
      <w:r>
        <w:t xml:space="preserve"> </w:t>
      </w:r>
      <w:r>
        <w:t xml:space="preserve">(</w:t>
      </w:r>
      <w:hyperlink w:anchor="ref-gabry2019">
        <w:r>
          <w:rPr>
            <w:rStyle w:val="Hyperlink"/>
          </w:rPr>
          <w:t xml:space="preserve">Gabry et al., 2019</w:t>
        </w:r>
      </w:hyperlink>
      <w:r>
        <w:t xml:space="preserve">)</w:t>
      </w:r>
      <w:r>
        <w:t xml:space="preserve">. In the context of the</w:t>
      </w:r>
      <w:r>
        <w:t xml:space="preserve"> </w:t>
      </w:r>
      <m:oMath>
        <m:r>
          <m:rPr>
            <m:nor/>
            <m:sty m:val="p"/>
          </m:rPr>
          <m:t>meta-</m:t>
        </m:r>
        <m:sSup>
          <m:e>
            <m:r>
              <m:t>d</m:t>
            </m:r>
          </m:e>
          <m:sup>
            <m:r>
              <m:rPr>
                <m:sty m:val="p"/>
              </m:rPr>
              <m:t>′</m:t>
            </m:r>
          </m:sup>
        </m:sSup>
      </m:oMath>
      <w:r>
        <w:t xml:space="preserve"> </w:t>
      </w:r>
      <w:r>
        <w:t xml:space="preserve">model, a common source of such problems is that parameters are poorly identified when participants exhibit aberrant behavior. For instance, if a participant only responds</w:t>
      </w:r>
      <w:r>
        <w:t xml:space="preserve"> </w:t>
      </w:r>
      <w:r>
        <w:t xml:space="preserve">“present”</w:t>
      </w:r>
      <w:r>
        <w:t xml:space="preserve"> </w:t>
      </w:r>
      <w:r>
        <w:t xml:space="preserve">(or,</w:t>
      </w:r>
      <w:r>
        <w:t xml:space="preserve"> </w:t>
      </w:r>
      <w:r>
        <w:t xml:space="preserve">“right”</w:t>
      </w:r>
      <w:r>
        <w:t xml:space="preserve">), it is impossible to estimate confidence criteria for the opposite response. As another example, it is difficult to estimate</w:t>
      </w:r>
      <w:r>
        <w:t xml:space="preserve"> </w:t>
      </w:r>
      <m:oMath>
        <m:r>
          <m:t>M</m:t>
        </m:r>
      </m:oMath>
      <w:r>
        <w:t xml:space="preserve">-ratio when a participant has chance-level task performance (i.e.,</w:t>
      </w:r>
      <w:r>
        <w:t xml:space="preserve"> </w:t>
      </w:r>
      <m:oMath>
        <m:sSup>
          <m:e>
            <m:r>
              <m:t>d</m:t>
            </m:r>
          </m:e>
          <m:sup>
            <m:r>
              <m:rPr>
                <m:sty m:val="p"/>
              </m:rPr>
              <m:t>′</m:t>
            </m:r>
          </m:sup>
        </m:sSup>
        <m:r>
          <m:rPr>
            <m:sty m:val="p"/>
          </m:rPr>
          <m:t>=</m:t>
        </m:r>
        <m:r>
          <m:t>0</m:t>
        </m:r>
      </m:oMath>
      <w:r>
        <w:t xml:space="preserve">), because dividing by zero creates infinite values of</w:t>
      </w:r>
      <w:r>
        <w:t xml:space="preserve"> </w:t>
      </w:r>
      <m:oMath>
        <m:r>
          <m:t>M</m:t>
        </m:r>
      </m:oMath>
      <w:r>
        <w:t xml:space="preserve">-ratio. In our case, however, the divergent transitions are likely due to extreme confidence responding: there are many participants in our data who only use one or two (of six) confidence levels, leaving many cells with zero counts in the aggregated data. Such issues are somewhat mitigated in a multilevel model such as the one we present here, since participant-level estimates are informed by the group-level means. However, if there are enough empty cells, or if the group-level estimates themselves are under-powered, participant-level estimates of the confidence thresholds may still be poorly identified or exhibit degenerate posterior geometries.</w:t>
      </w:r>
    </w:p>
    <w:p>
      <w:pPr>
        <w:pStyle w:val="BodyText"/>
      </w:pPr>
      <w:r>
        <w:t xml:space="preserve">In such cases, it may be necessary to either reduce the number of confidence ratings through binning or to exclude participants with highly skewed response patterns, so long as exclusion does not introduce post-treatment bias or other kinds of selection effects</w:t>
      </w:r>
      <w:r>
        <w:t xml:space="preserve"> </w:t>
      </w:r>
      <w:r>
        <w:t xml:space="preserve">(</w:t>
      </w:r>
      <w:hyperlink w:anchor="ref-rohrer2024">
        <w:r>
          <w:rPr>
            <w:rStyle w:val="Hyperlink"/>
          </w:rPr>
          <w:t xml:space="preserve">Rohrer, 2024</w:t>
        </w:r>
      </w:hyperlink>
      <w:r>
        <w:t xml:space="preserve">)</w:t>
      </w:r>
      <w:r>
        <w:t xml:space="preserve">. Another alternative is to perform analyses collapsing across participants, with the caveat that collapsed estimates are less likely to generalize across the population</w:t>
      </w:r>
      <w:r>
        <w:t xml:space="preserve"> </w:t>
      </w:r>
      <w:r>
        <w:t xml:space="preserve">(</w:t>
      </w:r>
      <w:hyperlink w:anchor="ref-yarkoni2020">
        <w:r>
          <w:rPr>
            <w:rStyle w:val="Hyperlink"/>
          </w:rPr>
          <w:t xml:space="preserve">Yarkoni, 2020</w:t>
        </w:r>
      </w:hyperlink>
      <w:r>
        <w:t xml:space="preserve">)</w:t>
      </w:r>
      <w:r>
        <w:t xml:space="preserve">. Many researchers have also used data padding (or edge correction)—imputing artificial trials into the dataset to avoid zero counts—to mitigate similar identifiability issues. However, padding is generally unadvisable as it introduces biases into the estimates of Type I sensitivity, which in turn biases estimates of</w:t>
      </w:r>
      <w:r>
        <w:t xml:space="preserve"> </w:t>
      </w:r>
      <m:oMath>
        <m:r>
          <m:t>M</m:t>
        </m:r>
      </m:oMath>
      <w:r>
        <w:t xml:space="preserve">-ratio</w:t>
      </w:r>
      <w:r>
        <w:t xml:space="preserve"> </w:t>
      </w:r>
      <w:r>
        <w:t xml:space="preserve">(</w:t>
      </w:r>
      <w:hyperlink w:anchor="ref-fleming2017">
        <w:r>
          <w:rPr>
            <w:rStyle w:val="Hyperlink"/>
          </w:rPr>
          <w:t xml:space="preserve">Fleming, 2017</w:t>
        </w:r>
      </w:hyperlink>
      <w:r>
        <w:t xml:space="preserve">;</w:t>
      </w:r>
      <w:r>
        <w:t xml:space="preserve"> </w:t>
      </w:r>
      <w:hyperlink w:anchor="ref-hautus1995">
        <w:r>
          <w:rPr>
            <w:rStyle w:val="Hyperlink"/>
          </w:rPr>
          <w:t xml:space="preserve">Hautus, 1995</w:t>
        </w:r>
      </w:hyperlink>
      <w:r>
        <w:t xml:space="preserve">)</w:t>
      </w:r>
      <w:r>
        <w:t xml:space="preserve">. In any case, it is usually necessary to perform robustness checks to ensure the key pattern of results is not sensitive to the data cleaning process.</w:t>
      </w:r>
    </w:p>
    <w:p>
      <w:pPr>
        <w:pStyle w:val="BodyText"/>
      </w:pPr>
      <w:r>
        <w:t xml:space="preserve">Such issues can ideally be mitigated prior to data collection using careful experimental designs which encourage participants to (a) perform above chance, (b) use both Type I responses equally, and (c) make full use of the confidence scale. In the absence of these strategies, here we resolve our model convergence issues by binning the confidence data from six to three levels using the same cut-points for all participants</w:t>
      </w:r>
      <w:r>
        <w:rPr>
          <w:rStyle w:val="FootnoteReference"/>
        </w:rPr>
        <w:footnoteReference w:id="81"/>
      </w:r>
      <w:r>
        <w:t xml:space="preserve"> </w:t>
      </w:r>
      <w:r>
        <w:t xml:space="preserve">and by excluding 44 (~9%) participants that used less than 2/3 of possible joint response options.</w:t>
      </w:r>
    </w:p>
    <w:p>
      <w:pPr>
        <w:pStyle w:val="SourceCode"/>
      </w:pPr>
      <w:r>
        <w:rPr>
          <w:rStyle w:val="DocumentationTok"/>
        </w:rPr>
        <w:t xml:space="preserve">## bin data and exclude participants with &gt;1/3 empty cells</w:t>
      </w:r>
      <w:r>
        <w:br/>
      </w:r>
      <w:r>
        <w:rPr>
          <w:rStyle w:val="NormalTok"/>
        </w:rPr>
        <w:t xml:space="preserve">d </w:t>
      </w:r>
      <w:r>
        <w:rPr>
          <w:rStyle w:val="OtherTok"/>
        </w:rPr>
        <w:t xml:space="preserve">&lt;-</w:t>
      </w:r>
      <w:r>
        <w:rPr>
          <w:rStyle w:val="NormalTok"/>
        </w:rPr>
        <w:t xml:space="preserve"> d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confidence =</w:t>
      </w:r>
      <w:r>
        <w:rPr>
          <w:rStyle w:val="NormalTok"/>
        </w:rPr>
        <w:t xml:space="preserve"> </w:t>
      </w:r>
      <w:r>
        <w:rPr>
          <w:rStyle w:val="FunctionTok"/>
        </w:rPr>
        <w:t xml:space="preserve">cut</w:t>
      </w:r>
      <w:r>
        <w:rPr>
          <w:rStyle w:val="NormalTok"/>
        </w:rPr>
        <w:t xml:space="preserve">(confidence,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FloatTok"/>
        </w:rPr>
        <w:t xml:space="preserve">0.5</w:t>
      </w:r>
      <w:r>
        <w:rPr>
          <w:rStyle w:val="NormalTok"/>
        </w:rPr>
        <w:t xml:space="preserve">, </w:t>
      </w:r>
      <w:r>
        <w:rPr>
          <w:rStyle w:val="FloatTok"/>
        </w:rPr>
        <w:t xml:space="preserve">3.5</w:t>
      </w:r>
      <w:r>
        <w:rPr>
          <w:rStyle w:val="NormalTok"/>
        </w:rPr>
        <w:t xml:space="preserve">, </w:t>
      </w:r>
      <w:r>
        <w:rPr>
          <w:rStyle w:val="FloatTok"/>
        </w:rPr>
        <w:t xml:space="preserve">4.5</w:t>
      </w:r>
      <w:r>
        <w:rPr>
          <w:rStyle w:val="NormalTok"/>
        </w:rPr>
        <w:t xml:space="preserve">, </w:t>
      </w:r>
      <w:r>
        <w:rPr>
          <w:rStyle w:val="FloatTok"/>
        </w:rPr>
        <w:t xml:space="preserve">6.5</w:t>
      </w:r>
      <w:r>
        <w:rPr>
          <w:rStyle w:val="NormalTok"/>
        </w:rPr>
        <w:t xml:space="preserve">), </w:t>
      </w:r>
      <w:r>
        <w:rPr>
          <w:rStyle w:val="AttributeTok"/>
        </w:rPr>
        <w:t xml:space="preserve">labels =</w:t>
      </w:r>
      <w:r>
        <w:rPr>
          <w:rStyle w:val="NormalTok"/>
        </w:rPr>
        <w:t xml:space="preserve"> </w:t>
      </w:r>
      <w:r>
        <w:rPr>
          <w:rStyle w:val="ConstantTok"/>
        </w:rPr>
        <w:t xml:space="preserve">FALSE</w:t>
      </w:r>
      <w:r>
        <w:rPr>
          <w:rStyle w:val="NormalTok"/>
        </w:rPr>
        <w:t xml:space="preserve">))</w:t>
      </w:r>
      <w:r>
        <w:br/>
      </w:r>
      <w:r>
        <w:rPr>
          <w:rStyle w:val="NormalTok"/>
        </w:rPr>
        <w:t xml:space="preserve">exclude_ids </w:t>
      </w:r>
      <w:r>
        <w:rPr>
          <w:rStyle w:val="OtherTok"/>
        </w:rPr>
        <w:t xml:space="preserve">&lt;-</w:t>
      </w:r>
      <w:r>
        <w:rPr>
          <w:rStyle w:val="NormalTok"/>
        </w:rPr>
        <w:t xml:space="preserve"> </w:t>
      </w:r>
      <w:r>
        <w:rPr>
          <w:rStyle w:val="FunctionTok"/>
        </w:rPr>
        <w:t xml:space="preserve">joint_probabilities</w:t>
      </w:r>
      <w:r>
        <w:rPr>
          <w:rStyle w:val="NormalTok"/>
        </w:rPr>
        <w:t xml:space="preserve">(</w:t>
      </w:r>
      <w:r>
        <w:br/>
      </w:r>
      <w:r>
        <w:rPr>
          <w:rStyle w:val="NormalTok"/>
        </w:rPr>
        <w:t xml:space="preserve">  d, participant,</w:t>
      </w:r>
      <w:r>
        <w:br/>
      </w:r>
      <w:r>
        <w:rPr>
          <w:rStyle w:val="NormalTok"/>
        </w:rPr>
        <w:t xml:space="preserve">  </w:t>
      </w:r>
      <w:r>
        <w:rPr>
          <w:rStyle w:val="AttributeTok"/>
        </w:rPr>
        <w:t xml:space="preserve">.stimulus =</w:t>
      </w:r>
      <w:r>
        <w:rPr>
          <w:rStyle w:val="NormalTok"/>
        </w:rPr>
        <w:t xml:space="preserve"> </w:t>
      </w:r>
      <w:r>
        <w:rPr>
          <w:rStyle w:val="StringTok"/>
        </w:rPr>
        <w:t xml:space="preserve">"stimulus_left"</w:t>
      </w:r>
      <w:r>
        <w:rPr>
          <w:rStyle w:val="NormalTok"/>
        </w:rPr>
        <w:t xml:space="preserve">, </w:t>
      </w:r>
      <w:r>
        <w:rPr>
          <w:rStyle w:val="AttributeTok"/>
        </w:rPr>
        <w:t xml:space="preserve">.response =</w:t>
      </w:r>
      <w:r>
        <w:rPr>
          <w:rStyle w:val="NormalTok"/>
        </w:rPr>
        <w:t xml:space="preserve"> </w:t>
      </w:r>
      <w:r>
        <w:rPr>
          <w:rStyle w:val="StringTok"/>
        </w:rPr>
        <w:t xml:space="preserve">"response_left"</w:t>
      </w:r>
      <w:r>
        <w:br/>
      </w:r>
      <w:r>
        <w:rPr>
          <w:rStyle w:val="NormalTok"/>
        </w:rPr>
        <w:t xml:space="preserve">) </w:t>
      </w:r>
      <w:r>
        <w:rPr>
          <w:rStyle w:val="SpecialCharTok"/>
        </w:rPr>
        <w:t xml:space="preserve">|&gt;</w:t>
      </w:r>
      <w:r>
        <w:br/>
      </w:r>
      <w:r>
        <w:rPr>
          <w:rStyle w:val="NormalTok"/>
        </w:rPr>
        <w:t xml:space="preserve">  </w:t>
      </w:r>
      <w:r>
        <w:rPr>
          <w:rStyle w:val="FunctionTok"/>
        </w:rPr>
        <w:t xml:space="preserve">group_by</w:t>
      </w:r>
      <w:r>
        <w:rPr>
          <w:rStyle w:val="NormalTok"/>
        </w:rPr>
        <w:t xml:space="preserve">(participant)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AttributeTok"/>
        </w:rPr>
        <w:t xml:space="preserve">n_zeros =</w:t>
      </w:r>
      <w:r>
        <w:rPr>
          <w:rStyle w:val="NormalTok"/>
        </w:rPr>
        <w:t xml:space="preserve"> </w:t>
      </w:r>
      <w:r>
        <w:rPr>
          <w:rStyle w:val="FunctionTok"/>
        </w:rPr>
        <w:t xml:space="preserve">sum</w:t>
      </w:r>
      <w:r>
        <w:rPr>
          <w:rStyle w:val="NormalTok"/>
        </w:rPr>
        <w:t xml:space="preserve">(n </w:t>
      </w:r>
      <w:r>
        <w:rPr>
          <w:rStyle w:val="SpecialCharTok"/>
        </w:rPr>
        <w:t xml:space="preserve">==</w:t>
      </w:r>
      <w:r>
        <w:rPr>
          <w:rStyle w:val="NormalTok"/>
        </w:rPr>
        <w:t xml:space="preserve"> </w:t>
      </w:r>
      <w:r>
        <w:rPr>
          <w:rStyle w:val="DecValTok"/>
        </w:rPr>
        <w:t xml:space="preserve">0</w:t>
      </w:r>
      <w:r>
        <w:rPr>
          <w:rStyle w:val="NormalTok"/>
        </w:rPr>
        <w:t xml:space="preserve">)) </w:t>
      </w:r>
      <w:r>
        <w:rPr>
          <w:rStyle w:val="SpecialCharTok"/>
        </w:rPr>
        <w:t xml:space="preserve">|&gt;</w:t>
      </w:r>
      <w:r>
        <w:br/>
      </w:r>
      <w:r>
        <w:rPr>
          <w:rStyle w:val="NormalTok"/>
        </w:rPr>
        <w:t xml:space="preserve">  </w:t>
      </w:r>
      <w:r>
        <w:rPr>
          <w:rStyle w:val="FunctionTok"/>
        </w:rPr>
        <w:t xml:space="preserve">filter</w:t>
      </w:r>
      <w:r>
        <w:rPr>
          <w:rStyle w:val="NormalTok"/>
        </w:rPr>
        <w:t xml:space="preserve">(n_zeros </w:t>
      </w:r>
      <w:r>
        <w:rPr>
          <w:rStyle w:val="SpecialCharTok"/>
        </w:rPr>
        <w:t xml:space="preserve">&gt;=</w:t>
      </w:r>
      <w:r>
        <w:rPr>
          <w:rStyle w:val="NormalTok"/>
        </w:rPr>
        <w:t xml:space="preserve"> </w:t>
      </w:r>
      <w:r>
        <w:rPr>
          <w:rStyle w:val="DecValTok"/>
        </w:rPr>
        <w:t xml:space="preserve">4</w:t>
      </w:r>
      <w:r>
        <w:rPr>
          <w:rStyle w:val="NormalTok"/>
        </w:rPr>
        <w:t xml:space="preserve">) </w:t>
      </w:r>
      <w:r>
        <w:rPr>
          <w:rStyle w:val="SpecialCharTok"/>
        </w:rPr>
        <w:t xml:space="preserve">|&gt;</w:t>
      </w:r>
      <w:r>
        <w:br/>
      </w:r>
      <w:r>
        <w:rPr>
          <w:rStyle w:val="NormalTok"/>
        </w:rPr>
        <w:t xml:space="preserve">  </w:t>
      </w:r>
      <w:r>
        <w:rPr>
          <w:rStyle w:val="FunctionTok"/>
        </w:rPr>
        <w:t xml:space="preserve">pull</w:t>
      </w:r>
      <w:r>
        <w:rPr>
          <w:rStyle w:val="NormalTok"/>
        </w:rPr>
        <w:t xml:space="preserve">(participant)</w:t>
      </w:r>
      <w:r>
        <w:br/>
      </w:r>
      <w:r>
        <w:rPr>
          <w:rStyle w:val="NormalTok"/>
        </w:rPr>
        <w:t xml:space="preserve">d </w:t>
      </w:r>
      <w:r>
        <w:rPr>
          <w:rStyle w:val="OtherTok"/>
        </w:rPr>
        <w:t xml:space="preserve">&lt;-</w:t>
      </w:r>
      <w:r>
        <w:rPr>
          <w:rStyle w:val="NormalTok"/>
        </w:rPr>
        <w:t xml:space="preserve"> d </w:t>
      </w:r>
      <w:r>
        <w:rPr>
          <w:rStyle w:val="SpecialCharTok"/>
        </w:rPr>
        <w:t xml:space="preserve">|&gt;</w:t>
      </w:r>
      <w:r>
        <w:br/>
      </w:r>
      <w:r>
        <w:rPr>
          <w:rStyle w:val="NormalTok"/>
        </w:rPr>
        <w:t xml:space="preserve">  </w:t>
      </w:r>
      <w:r>
        <w:rPr>
          <w:rStyle w:val="FunctionTok"/>
        </w:rPr>
        <w:t xml:space="preserve">filter_out</w:t>
      </w:r>
      <w:r>
        <w:rPr>
          <w:rStyle w:val="NormalTok"/>
        </w:rPr>
        <w:t xml:space="preserve">(participant </w:t>
      </w:r>
      <w:r>
        <w:rPr>
          <w:rStyle w:val="SpecialCharTok"/>
        </w:rPr>
        <w:t xml:space="preserve">%in%</w:t>
      </w:r>
      <w:r>
        <w:rPr>
          <w:rStyle w:val="NormalTok"/>
        </w:rPr>
        <w:t xml:space="preserve"> exclude_ids)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participant =</w:t>
      </w:r>
      <w:r>
        <w:rPr>
          <w:rStyle w:val="NormalTok"/>
        </w:rPr>
        <w:t xml:space="preserve"> </w:t>
      </w:r>
      <w:r>
        <w:rPr>
          <w:rStyle w:val="FunctionTok"/>
        </w:rPr>
        <w:t xml:space="preserve">factor</w:t>
      </w:r>
      <w:r>
        <w:rPr>
          <w:rStyle w:val="NormalTok"/>
        </w:rPr>
        <w:t xml:space="preserve">(participant))</w:t>
      </w:r>
      <w:r>
        <w:br/>
      </w:r>
      <w:r>
        <w:br/>
      </w:r>
      <w:r>
        <w:br/>
      </w:r>
      <w:r>
        <w:rPr>
          <w:rStyle w:val="DocumentationTok"/>
        </w:rPr>
        <w:t xml:space="preserve">## re-fit model on cleaned data</w:t>
      </w:r>
      <w:r>
        <w:br/>
      </w:r>
      <w:r>
        <w:rPr>
          <w:rStyle w:val="NormalTok"/>
        </w:rPr>
        <w:t xml:space="preserve">formula </w:t>
      </w:r>
      <w:r>
        <w:rPr>
          <w:rStyle w:val="OtherTok"/>
        </w:rPr>
        <w:t xml:space="preserve">&lt;-</w:t>
      </w:r>
      <w:r>
        <w:rPr>
          <w:rStyle w:val="NormalTok"/>
        </w:rPr>
        <w:t xml:space="preserve"> </w:t>
      </w:r>
      <w:r>
        <w:rPr>
          <w:rStyle w:val="FunctionTok"/>
        </w:rPr>
        <w:t xml:space="preserve">bf</w:t>
      </w:r>
      <w:r>
        <w:rPr>
          <w:rStyle w:val="NormalTok"/>
        </w:rPr>
        <w:t xml:space="preserve">(</w:t>
      </w:r>
      <w:r>
        <w:br/>
      </w:r>
      <w:r>
        <w:rPr>
          <w:rStyle w:val="NormalTok"/>
        </w:rPr>
        <w:t xml:space="preserve">  N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participant),</w:t>
      </w:r>
      <w:r>
        <w:br/>
      </w:r>
      <w:r>
        <w:rPr>
          <w:rStyle w:val="NormalTok"/>
        </w:rPr>
        <w:t xml:space="preserve">  dprime </w:t>
      </w:r>
      <w:r>
        <w:rPr>
          <w:rStyle w:val="SpecialCharTok"/>
        </w:rPr>
        <w:t xml:space="preserve">+</w:t>
      </w:r>
      <w:r>
        <w:rPr>
          <w:rStyle w:val="NormalTok"/>
        </w:rPr>
        <w:t xml:space="preserve"> c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participant),</w:t>
      </w:r>
      <w:r>
        <w:br/>
      </w:r>
      <w:r>
        <w:rPr>
          <w:rStyle w:val="NormalTok"/>
        </w:rPr>
        <w:t xml:space="preserve">  metac2zero1diff </w:t>
      </w:r>
      <w:r>
        <w:rPr>
          <w:rStyle w:val="SpecialCharTok"/>
        </w:rPr>
        <w:t xml:space="preserve">+</w:t>
      </w:r>
      <w:r>
        <w:rPr>
          <w:rStyle w:val="NormalTok"/>
        </w:rPr>
        <w:t xml:space="preserve"> metac2zero2diff </w:t>
      </w:r>
      <w:r>
        <w:rPr>
          <w:rStyle w:val="SpecialCharTok"/>
        </w:rPr>
        <w:t xml:space="preserve">+</w:t>
      </w:r>
      <w:r>
        <w:br/>
      </w:r>
      <w:r>
        <w:rPr>
          <w:rStyle w:val="NormalTok"/>
        </w:rPr>
        <w:t xml:space="preserve">    metac2one1diff </w:t>
      </w:r>
      <w:r>
        <w:rPr>
          <w:rStyle w:val="SpecialCharTok"/>
        </w:rPr>
        <w:t xml:space="preserve">+</w:t>
      </w:r>
      <w:r>
        <w:rPr>
          <w:rStyle w:val="NormalTok"/>
        </w:rPr>
        <w:t xml:space="preserve"> metac2one2diff </w:t>
      </w:r>
      <w:r>
        <w:rPr>
          <w:rStyle w:val="SpecialCharTok"/>
        </w:rPr>
        <w:t xml:space="preserve">~</w:t>
      </w:r>
      <w:r>
        <w:br/>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w:t>
      </w:r>
      <w:r>
        <w:br/>
      </w:r>
      <w:r>
        <w:br/>
      </w:r>
      <w:r>
        <w:rPr>
          <w:rStyle w:val="NormalTok"/>
        </w:rPr>
        <w:t xml:space="preserve">prior </w:t>
      </w:r>
      <w:r>
        <w:rPr>
          <w:rStyle w:val="OtherTok"/>
        </w:rPr>
        <w:t xml:space="preserve">&lt;-</w:t>
      </w:r>
      <w:r>
        <w:rPr>
          <w:rStyle w:val="NormalTok"/>
        </w:rPr>
        <w:t xml:space="preserve"> </w:t>
      </w:r>
      <w:r>
        <w:rPr>
          <w:rStyle w:val="FunctionTok"/>
        </w:rPr>
        <w:t xml:space="preserve">set_prior</w:t>
      </w:r>
      <w:r>
        <w:rPr>
          <w:rStyle w:val="NormalTok"/>
        </w:rPr>
        <w:t xml:space="preserve">(</w:t>
      </w:r>
      <w:r>
        <w:rPr>
          <w:rStyle w:val="StringTok"/>
        </w:rPr>
        <w:t xml:space="preserve">"normal(0, .33)"</w:t>
      </w:r>
      <w:r>
        <w:rPr>
          <w:rStyle w:val="NormalTok"/>
        </w:rPr>
        <w:t xml:space="preserve">, </w:t>
      </w:r>
      <w:r>
        <w:rPr>
          <w:rStyle w:val="AttributeTok"/>
        </w:rPr>
        <w:t xml:space="preserve">class =</w:t>
      </w:r>
      <w:r>
        <w:rPr>
          <w:rStyle w:val="NormalTok"/>
        </w:rPr>
        <w:t xml:space="preserve"> </w:t>
      </w:r>
      <w:r>
        <w:rPr>
          <w:rStyle w:val="StringTok"/>
        </w:rPr>
        <w:t xml:space="preserve">"Intercept"</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"normal(1.11, .1)"</w:t>
      </w:r>
      <w:r>
        <w:rPr>
          <w:rStyle w:val="NormalTok"/>
        </w:rPr>
        <w:t xml:space="preserve">, </w:t>
      </w:r>
      <w:r>
        <w:rPr>
          <w:rStyle w:val="AttributeTok"/>
        </w:rPr>
        <w:t xml:space="preserve">class =</w:t>
      </w:r>
      <w:r>
        <w:rPr>
          <w:rStyle w:val="NormalTok"/>
        </w:rPr>
        <w:t xml:space="preserve"> </w:t>
      </w:r>
      <w:r>
        <w:rPr>
          <w:rStyle w:val="StringTok"/>
        </w:rPr>
        <w:t xml:space="preserve">"Intercept"</w:t>
      </w:r>
      <w:r>
        <w:rPr>
          <w:rStyle w:val="NormalTok"/>
        </w:rPr>
        <w:t xml:space="preserve">, </w:t>
      </w:r>
      <w:r>
        <w:rPr>
          <w:rStyle w:val="AttributeTok"/>
        </w:rPr>
        <w:t xml:space="preserve">dpar =</w:t>
      </w:r>
      <w:r>
        <w:rPr>
          <w:rStyle w:val="NormalTok"/>
        </w:rPr>
        <w:t xml:space="preserve"> </w:t>
      </w:r>
      <w:r>
        <w:rPr>
          <w:rStyle w:val="StringTok"/>
        </w:rPr>
        <w:t xml:space="preserve">"dprime"</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.1)"</w:t>
      </w:r>
      <w:r>
        <w:rPr>
          <w:rStyle w:val="NormalTok"/>
        </w:rPr>
        <w:t xml:space="preserve">, </w:t>
      </w:r>
      <w:r>
        <w:rPr>
          <w:rStyle w:val="AttributeTok"/>
        </w:rPr>
        <w:t xml:space="preserve">class =</w:t>
      </w:r>
      <w:r>
        <w:rPr>
          <w:rStyle w:val="NormalTok"/>
        </w:rPr>
        <w:t xml:space="preserve"> </w:t>
      </w:r>
      <w:r>
        <w:rPr>
          <w:rStyle w:val="StringTok"/>
        </w:rPr>
        <w:t xml:space="preserve">"Intercept"</w:t>
      </w:r>
      <w:r>
        <w:rPr>
          <w:rStyle w:val="NormalTok"/>
        </w:rPr>
        <w:t xml:space="preserve">, </w:t>
      </w:r>
      <w:r>
        <w:rPr>
          <w:rStyle w:val="AttributeTok"/>
        </w:rPr>
        <w:t xml:space="preserve">dpar =</w:t>
      </w:r>
      <w:r>
        <w:rPr>
          <w:rStyle w:val="NormalTok"/>
        </w:rPr>
        <w:t xml:space="preserve"> </w:t>
      </w:r>
      <w:r>
        <w:rPr>
          <w:rStyle w:val="StringTok"/>
        </w:rPr>
        <w:t xml:space="preserve">"c"</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"normal(-1, 1)"</w:t>
      </w:r>
      <w:r>
        <w:rPr>
          <w:rStyle w:val="NormalTok"/>
        </w:rPr>
        <w:t xml:space="preserve">, </w:t>
      </w:r>
      <w:r>
        <w:rPr>
          <w:rStyle w:val="AttributeTok"/>
        </w:rPr>
        <w:t xml:space="preserve">class =</w:t>
      </w:r>
      <w:r>
        <w:rPr>
          <w:rStyle w:val="NormalTok"/>
        </w:rPr>
        <w:t xml:space="preserve"> </w:t>
      </w:r>
      <w:r>
        <w:rPr>
          <w:rStyle w:val="StringTok"/>
        </w:rPr>
        <w:t xml:space="preserve">"Intercept"</w:t>
      </w:r>
      <w:r>
        <w:rPr>
          <w:rStyle w:val="NormalTok"/>
        </w:rPr>
        <w:t xml:space="preserve">, </w:t>
      </w:r>
      <w:r>
        <w:rPr>
          <w:rStyle w:val="AttributeTok"/>
        </w:rPr>
        <w:t xml:space="preserve">dpar =</w:t>
      </w:r>
      <w:r>
        <w:rPr>
          <w:rStyle w:val="NormalTok"/>
        </w:rPr>
        <w:t xml:space="preserve"> </w:t>
      </w:r>
      <w:r>
        <w:rPr>
          <w:rStyle w:val="FunctionTok"/>
        </w:rPr>
        <w:t xml:space="preserve">metac2_parameters</w:t>
      </w:r>
      <w:r>
        <w:rPr>
          <w:rStyle w:val="NormalTok"/>
        </w:rPr>
        <w:t xml:space="preserve">(</w:t>
      </w:r>
      <w:r>
        <w:rPr>
          <w:rStyle w:val="AttributeTok"/>
        </w:rPr>
        <w:t xml:space="preserve">K =</w:t>
      </w:r>
      <w:r>
        <w:rPr>
          <w:rStyle w:val="NormalTok"/>
        </w:rPr>
        <w:t xml:space="preserve"> </w:t>
      </w:r>
      <w:r>
        <w:rPr>
          <w:rStyle w:val="DecValTok"/>
        </w:rPr>
        <w:t xml:space="preserve">3</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0.25)"</w:t>
      </w:r>
      <w:r>
        <w:rPr>
          <w:rStyle w:val="NormalTok"/>
        </w:rPr>
        <w:t xml:space="preserve">, </w:t>
      </w:r>
      <w:r>
        <w:rPr>
          <w:rStyle w:val="AttributeTok"/>
        </w:rPr>
        <w:t xml:space="preserve">class =</w:t>
      </w:r>
      <w:r>
        <w:rPr>
          <w:rStyle w:val="NormalTok"/>
        </w:rPr>
        <w:t xml:space="preserve"> </w:t>
      </w:r>
      <w:r>
        <w:rPr>
          <w:rStyle w:val="StringTok"/>
        </w:rPr>
        <w:t xml:space="preserve">"b"</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0.25)"</w:t>
      </w:r>
      <w:r>
        <w:rPr>
          <w:rStyle w:val="NormalTok"/>
        </w:rPr>
        <w:t xml:space="preserve">, </w:t>
      </w:r>
      <w:r>
        <w:rPr>
          <w:rStyle w:val="AttributeTok"/>
        </w:rPr>
        <w:t xml:space="preserve">class =</w:t>
      </w:r>
      <w:r>
        <w:rPr>
          <w:rStyle w:val="NormalTok"/>
        </w:rPr>
        <w:t xml:space="preserve"> </w:t>
      </w:r>
      <w:r>
        <w:rPr>
          <w:rStyle w:val="StringTok"/>
        </w:rPr>
        <w:t xml:space="preserve">"b"</w:t>
      </w:r>
      <w:r>
        <w:rPr>
          <w:rStyle w:val="NormalTok"/>
        </w:rPr>
        <w:t xml:space="preserve">, </w:t>
      </w:r>
      <w:r>
        <w:rPr>
          <w:rStyle w:val="AttributeTok"/>
        </w:rPr>
        <w:t xml:space="preserve">dpar =</w:t>
      </w:r>
      <w:r>
        <w:rPr>
          <w:rStyle w:val="NormalTok"/>
        </w:rPr>
        <w:t xml:space="preserve"> </w:t>
      </w:r>
      <w:r>
        <w:rPr>
          <w:rStyle w:val="FunctionTok"/>
        </w:rPr>
        <w:t xml:space="preserve">c</w:t>
      </w:r>
      <w:r>
        <w:rPr>
          <w:rStyle w:val="NormalTok"/>
        </w:rPr>
        <w:t xml:space="preserve">(</w:t>
      </w:r>
      <w:r>
        <w:rPr>
          <w:rStyle w:val="StringTok"/>
        </w:rPr>
        <w:t xml:space="preserve">"dprime"</w:t>
      </w:r>
      <w:r>
        <w:rPr>
          <w:rStyle w:val="NormalTok"/>
        </w:rPr>
        <w:t xml:space="preserve">, </w:t>
      </w:r>
      <w:r>
        <w:rPr>
          <w:rStyle w:val="StringTok"/>
        </w:rPr>
        <w:t xml:space="preserve">"c"</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0.25)"</w:t>
      </w:r>
      <w:r>
        <w:rPr>
          <w:rStyle w:val="NormalTok"/>
        </w:rPr>
        <w:t xml:space="preserve">, </w:t>
      </w:r>
      <w:r>
        <w:rPr>
          <w:rStyle w:val="AttributeTok"/>
        </w:rPr>
        <w:t xml:space="preserve">class =</w:t>
      </w:r>
      <w:r>
        <w:rPr>
          <w:rStyle w:val="NormalTok"/>
        </w:rPr>
        <w:t xml:space="preserve"> </w:t>
      </w:r>
      <w:r>
        <w:rPr>
          <w:rStyle w:val="StringTok"/>
        </w:rPr>
        <w:t xml:space="preserve">"b"</w:t>
      </w:r>
      <w:r>
        <w:rPr>
          <w:rStyle w:val="NormalTok"/>
        </w:rPr>
        <w:t xml:space="preserve">, </w:t>
      </w:r>
      <w:r>
        <w:rPr>
          <w:rStyle w:val="AttributeTok"/>
        </w:rPr>
        <w:t xml:space="preserve">dpar =</w:t>
      </w:r>
      <w:r>
        <w:rPr>
          <w:rStyle w:val="NormalTok"/>
        </w:rPr>
        <w:t xml:space="preserve"> </w:t>
      </w:r>
      <w:r>
        <w:rPr>
          <w:rStyle w:val="FunctionTok"/>
        </w:rPr>
        <w:t xml:space="preserve">metac2_parameters</w:t>
      </w:r>
      <w:r>
        <w:rPr>
          <w:rStyle w:val="NormalTok"/>
        </w:rPr>
        <w:t xml:space="preserve">(</w:t>
      </w:r>
      <w:r>
        <w:rPr>
          <w:rStyle w:val="AttributeTok"/>
        </w:rPr>
        <w:t xml:space="preserve">K =</w:t>
      </w:r>
      <w:r>
        <w:rPr>
          <w:rStyle w:val="NormalTok"/>
        </w:rPr>
        <w:t xml:space="preserve"> </w:t>
      </w:r>
      <w:r>
        <w:rPr>
          <w:rStyle w:val="DecValTok"/>
        </w:rPr>
        <w:t xml:space="preserve">3</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0.5)"</w:t>
      </w:r>
      <w:r>
        <w:rPr>
          <w:rStyle w:val="NormalTok"/>
        </w:rPr>
        <w:t xml:space="preserve">, </w:t>
      </w:r>
      <w:r>
        <w:rPr>
          <w:rStyle w:val="AttributeTok"/>
        </w:rPr>
        <w:t xml:space="preserve">class =</w:t>
      </w:r>
      <w:r>
        <w:rPr>
          <w:rStyle w:val="NormalTok"/>
        </w:rPr>
        <w:t xml:space="preserve"> </w:t>
      </w:r>
      <w:r>
        <w:rPr>
          <w:rStyle w:val="StringTok"/>
        </w:rPr>
        <w:t xml:space="preserve">"sd"</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0.33)"</w:t>
      </w:r>
      <w:r>
        <w:rPr>
          <w:rStyle w:val="NormalTok"/>
        </w:rPr>
        <w:t xml:space="preserve">, </w:t>
      </w:r>
      <w:r>
        <w:rPr>
          <w:rStyle w:val="AttributeTok"/>
        </w:rPr>
        <w:t xml:space="preserve">class =</w:t>
      </w:r>
      <w:r>
        <w:rPr>
          <w:rStyle w:val="NormalTok"/>
        </w:rPr>
        <w:t xml:space="preserve"> </w:t>
      </w:r>
      <w:r>
        <w:rPr>
          <w:rStyle w:val="StringTok"/>
        </w:rPr>
        <w:t xml:space="preserve">"sd"</w:t>
      </w:r>
      <w:r>
        <w:rPr>
          <w:rStyle w:val="NormalTok"/>
        </w:rPr>
        <w:t xml:space="preserve">, </w:t>
      </w:r>
      <w:r>
        <w:rPr>
          <w:rStyle w:val="AttributeTok"/>
        </w:rPr>
        <w:t xml:space="preserve">dpar =</w:t>
      </w:r>
      <w:r>
        <w:rPr>
          <w:rStyle w:val="NormalTok"/>
        </w:rPr>
        <w:t xml:space="preserve"> </w:t>
      </w:r>
      <w:r>
        <w:rPr>
          <w:rStyle w:val="FunctionTok"/>
        </w:rPr>
        <w:t xml:space="preserve">c</w:t>
      </w:r>
      <w:r>
        <w:rPr>
          <w:rStyle w:val="NormalTok"/>
        </w:rPr>
        <w:t xml:space="preserve">(</w:t>
      </w:r>
      <w:r>
        <w:rPr>
          <w:rStyle w:val="StringTok"/>
        </w:rPr>
        <w:t xml:space="preserve">"dprime"</w:t>
      </w:r>
      <w:r>
        <w:rPr>
          <w:rStyle w:val="NormalTok"/>
        </w:rPr>
        <w:t xml:space="preserve">, </w:t>
      </w:r>
      <w:r>
        <w:rPr>
          <w:rStyle w:val="StringTok"/>
        </w:rPr>
        <w:t xml:space="preserve">"c"</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1)"</w:t>
      </w:r>
      <w:r>
        <w:rPr>
          <w:rStyle w:val="NormalTok"/>
        </w:rPr>
        <w:t xml:space="preserve">, </w:t>
      </w:r>
      <w:r>
        <w:rPr>
          <w:rStyle w:val="AttributeTok"/>
        </w:rPr>
        <w:t xml:space="preserve">class =</w:t>
      </w:r>
      <w:r>
        <w:rPr>
          <w:rStyle w:val="NormalTok"/>
        </w:rPr>
        <w:t xml:space="preserve"> </w:t>
      </w:r>
      <w:r>
        <w:rPr>
          <w:rStyle w:val="StringTok"/>
        </w:rPr>
        <w:t xml:space="preserve">"sd"</w:t>
      </w:r>
      <w:r>
        <w:rPr>
          <w:rStyle w:val="NormalTok"/>
        </w:rPr>
        <w:t xml:space="preserve">, </w:t>
      </w:r>
      <w:r>
        <w:rPr>
          <w:rStyle w:val="AttributeTok"/>
        </w:rPr>
        <w:t xml:space="preserve">dpar =</w:t>
      </w:r>
      <w:r>
        <w:rPr>
          <w:rStyle w:val="NormalTok"/>
        </w:rPr>
        <w:t xml:space="preserve"> </w:t>
      </w:r>
      <w:r>
        <w:rPr>
          <w:rStyle w:val="FunctionTok"/>
        </w:rPr>
        <w:t xml:space="preserve">metac2_parameters</w:t>
      </w:r>
      <w:r>
        <w:rPr>
          <w:rStyle w:val="NormalTok"/>
        </w:rPr>
        <w:t xml:space="preserve">(</w:t>
      </w:r>
      <w:r>
        <w:rPr>
          <w:rStyle w:val="AttributeTok"/>
        </w:rPr>
        <w:t xml:space="preserve">K =</w:t>
      </w:r>
      <w:r>
        <w:rPr>
          <w:rStyle w:val="NormalTok"/>
        </w:rPr>
        <w:t xml:space="preserve"> </w:t>
      </w:r>
      <w:r>
        <w:rPr>
          <w:rStyle w:val="DecValTok"/>
        </w:rPr>
        <w:t xml:space="preserve">3</w:t>
      </w:r>
      <w:r>
        <w:rPr>
          <w:rStyle w:val="NormalTok"/>
        </w:rPr>
        <w:t xml:space="preserve">))</w:t>
      </w:r>
      <w:r>
        <w:br/>
      </w:r>
      <w:r>
        <w:br/>
      </w:r>
      <w:r>
        <w:rPr>
          <w:rStyle w:val="NormalTok"/>
        </w:rPr>
        <w:t xml:space="preserve">m.prior </w:t>
      </w:r>
      <w:r>
        <w:rPr>
          <w:rStyle w:val="OtherTok"/>
        </w:rPr>
        <w:t xml:space="preserve">&lt;-</w:t>
      </w:r>
      <w:r>
        <w:rPr>
          <w:rStyle w:val="NormalTok"/>
        </w:rPr>
        <w:t xml:space="preserve"> </w:t>
      </w:r>
      <w:r>
        <w:rPr>
          <w:rStyle w:val="FunctionTok"/>
        </w:rPr>
        <w:t xml:space="preserve">fit_metad</w:t>
      </w:r>
      <w:r>
        <w:rPr>
          <w:rStyle w:val="NormalTok"/>
        </w:rPr>
        <w:t xml:space="preserve">(</w:t>
      </w:r>
      <w:r>
        <w:br/>
      </w:r>
      <w:r>
        <w:rPr>
          <w:rStyle w:val="NormalTok"/>
        </w:rPr>
        <w:t xml:space="preserve">  formula, d,</w:t>
      </w:r>
      <w:r>
        <w:br/>
      </w:r>
      <w:r>
        <w:rPr>
          <w:rStyle w:val="NormalTok"/>
        </w:rPr>
        <w:t xml:space="preserve">  </w:t>
      </w:r>
      <w:r>
        <w:rPr>
          <w:rStyle w:val="AttributeTok"/>
        </w:rPr>
        <w:t xml:space="preserve">.stimulus =</w:t>
      </w:r>
      <w:r>
        <w:rPr>
          <w:rStyle w:val="NormalTok"/>
        </w:rPr>
        <w:t xml:space="preserve"> </w:t>
      </w:r>
      <w:r>
        <w:rPr>
          <w:rStyle w:val="StringTok"/>
        </w:rPr>
        <w:t xml:space="preserve">"stimulus_left"</w:t>
      </w:r>
      <w:r>
        <w:rPr>
          <w:rStyle w:val="NormalTok"/>
        </w:rPr>
        <w:t xml:space="preserve">, </w:t>
      </w:r>
      <w:r>
        <w:rPr>
          <w:rStyle w:val="AttributeTok"/>
        </w:rPr>
        <w:t xml:space="preserve">.response =</w:t>
      </w:r>
      <w:r>
        <w:rPr>
          <w:rStyle w:val="NormalTok"/>
        </w:rPr>
        <w:t xml:space="preserve"> </w:t>
      </w:r>
      <w:r>
        <w:rPr>
          <w:rStyle w:val="StringTok"/>
        </w:rPr>
        <w:t xml:space="preserve">"response_left"</w:t>
      </w:r>
      <w:r>
        <w:rPr>
          <w:rStyle w:val="NormalTok"/>
        </w:rPr>
        <w:t xml:space="preserve">,</w:t>
      </w:r>
      <w:r>
        <w:br/>
      </w:r>
      <w:r>
        <w:rPr>
          <w:rStyle w:val="NormalTok"/>
        </w:rPr>
        <w:t xml:space="preserve">  </w:t>
      </w:r>
      <w:r>
        <w:rPr>
          <w:rStyle w:val="AttributeTok"/>
        </w:rPr>
        <w:t xml:space="preserve">file =</w:t>
      </w:r>
      <w:r>
        <w:rPr>
          <w:rStyle w:val="NormalTok"/>
        </w:rPr>
        <w:t xml:space="preserve"> </w:t>
      </w:r>
      <w:r>
        <w:rPr>
          <w:rStyle w:val="StringTok"/>
        </w:rPr>
        <w:t xml:space="preserve">"_models/prior_binned.rds"</w:t>
      </w:r>
      <w:r>
        <w:rPr>
          <w:rStyle w:val="NormalTok"/>
        </w:rPr>
        <w:t xml:space="preserve">,</w:t>
      </w:r>
      <w:r>
        <w:br/>
      </w:r>
      <w:r>
        <w:rPr>
          <w:rStyle w:val="NormalTok"/>
        </w:rPr>
        <w:t xml:space="preserve">  </w:t>
      </w:r>
      <w:r>
        <w:rPr>
          <w:rStyle w:val="AttributeTok"/>
        </w:rPr>
        <w:t xml:space="preserve">prior =</w:t>
      </w:r>
      <w:r>
        <w:rPr>
          <w:rStyle w:val="NormalTok"/>
        </w:rPr>
        <w:t xml:space="preserve"> prior, </w:t>
      </w:r>
      <w:r>
        <w:rPr>
          <w:rStyle w:val="AttributeTok"/>
        </w:rPr>
        <w:t xml:space="preserve">sample_prior =</w:t>
      </w:r>
      <w:r>
        <w:rPr>
          <w:rStyle w:val="NormalTok"/>
        </w:rPr>
        <w:t xml:space="preserve"> </w:t>
      </w:r>
      <w:r>
        <w:rPr>
          <w:rStyle w:val="StringTok"/>
        </w:rPr>
        <w:t xml:space="preserve">"only"</w:t>
      </w:r>
      <w:r>
        <w:rPr>
          <w:rStyle w:val="NormalTok"/>
        </w:rPr>
        <w:t xml:space="preserve">,</w:t>
      </w:r>
      <w:r>
        <w:br/>
      </w:r>
      <w:r>
        <w:rPr>
          <w:rStyle w:val="NormalTok"/>
        </w:rPr>
        <w:t xml:space="preserve">  </w:t>
      </w:r>
      <w:r>
        <w:rPr>
          <w:rStyle w:val="AttributeTok"/>
        </w:rPr>
        <w:t xml:space="preserve">iter =</w:t>
      </w:r>
      <w:r>
        <w:rPr>
          <w:rStyle w:val="NormalTok"/>
        </w:rPr>
        <w:t xml:space="preserve"> </w:t>
      </w:r>
      <w:r>
        <w:rPr>
          <w:rStyle w:val="DecValTok"/>
        </w:rPr>
        <w:t xml:space="preserve">6000</w:t>
      </w:r>
      <w:r>
        <w:rPr>
          <w:rStyle w:val="NormalTok"/>
        </w:rPr>
        <w:t xml:space="preserve">, </w:t>
      </w:r>
      <w:r>
        <w:rPr>
          <w:rStyle w:val="AttributeTok"/>
        </w:rPr>
        <w:t xml:space="preserve">warmup =</w:t>
      </w:r>
      <w:r>
        <w:rPr>
          <w:rStyle w:val="NormalTok"/>
        </w:rPr>
        <w:t xml:space="preserve"> </w:t>
      </w:r>
      <w:r>
        <w:rPr>
          <w:rStyle w:val="DecValTok"/>
        </w:rPr>
        <w:t xml:space="preserve">1000</w:t>
      </w:r>
      <w:r>
        <w:rPr>
          <w:rStyle w:val="NormalTok"/>
        </w:rPr>
        <w:t xml:space="preserve">,</w:t>
      </w:r>
      <w:r>
        <w:br/>
      </w:r>
      <w:r>
        <w:rPr>
          <w:rStyle w:val="NormalTok"/>
        </w:rPr>
        <w:t xml:space="preserve">  </w:t>
      </w:r>
      <w:r>
        <w:rPr>
          <w:rStyle w:val="AttributeTok"/>
        </w:rPr>
        <w:t xml:space="preserve">chains =</w:t>
      </w:r>
      <w:r>
        <w:rPr>
          <w:rStyle w:val="NormalTok"/>
        </w:rPr>
        <w:t xml:space="preserve"> </w:t>
      </w:r>
      <w:r>
        <w:rPr>
          <w:rStyle w:val="DecValTok"/>
        </w:rPr>
        <w:t xml:space="preserve">4</w:t>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 </w:t>
      </w:r>
      <w:r>
        <w:rPr>
          <w:rStyle w:val="AttributeTok"/>
        </w:rPr>
        <w:t xml:space="preserve">init =</w:t>
      </w:r>
      <w:r>
        <w:rPr>
          <w:rStyle w:val="NormalTok"/>
        </w:rPr>
        <w:t xml:space="preserve"> </w:t>
      </w:r>
      <w:r>
        <w:rPr>
          <w:rStyle w:val="DecValTok"/>
        </w:rPr>
        <w:t xml:space="preserve">0</w:t>
      </w:r>
      <w:r>
        <w:br/>
      </w:r>
      <w:r>
        <w:rPr>
          <w:rStyle w:val="NormalTok"/>
        </w:rPr>
        <w:t xml:space="preserve">)</w:t>
      </w:r>
      <w:r>
        <w:br/>
      </w:r>
      <w:r>
        <w:br/>
      </w:r>
      <w:r>
        <w:rPr>
          <w:rStyle w:val="NormalTok"/>
        </w:rPr>
        <w:t xml:space="preserve">m </w:t>
      </w:r>
      <w:r>
        <w:rPr>
          <w:rStyle w:val="OtherTok"/>
        </w:rPr>
        <w:t xml:space="preserve">&lt;-</w:t>
      </w:r>
      <w:r>
        <w:rPr>
          <w:rStyle w:val="NormalTok"/>
        </w:rPr>
        <w:t xml:space="preserve"> </w:t>
      </w:r>
      <w:r>
        <w:rPr>
          <w:rStyle w:val="FunctionTok"/>
        </w:rPr>
        <w:t xml:space="preserve">update</w:t>
      </w:r>
      <w:r>
        <w:rPr>
          <w:rStyle w:val="NormalTok"/>
        </w:rPr>
        <w:t xml:space="preserve">(m.prior,</w:t>
      </w:r>
      <w:r>
        <w:br/>
      </w:r>
      <w:r>
        <w:rPr>
          <w:rStyle w:val="NormalTok"/>
        </w:rPr>
        <w:t xml:space="preserve">  </w:t>
      </w:r>
      <w:r>
        <w:rPr>
          <w:rStyle w:val="AttributeTok"/>
        </w:rPr>
        <w:t xml:space="preserve">file =</w:t>
      </w:r>
      <w:r>
        <w:rPr>
          <w:rStyle w:val="NormalTok"/>
        </w:rPr>
        <w:t xml:space="preserve"> </w:t>
      </w:r>
      <w:r>
        <w:rPr>
          <w:rStyle w:val="StringTok"/>
        </w:rPr>
        <w:t xml:space="preserve">"_models/fit_binned.rds"</w:t>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w:t>
      </w:r>
      <w:r>
        <w:br/>
      </w:r>
      <w:r>
        <w:rPr>
          <w:rStyle w:val="NormalTok"/>
        </w:rPr>
        <w:t xml:space="preserve">  </w:t>
      </w:r>
      <w:r>
        <w:rPr>
          <w:rStyle w:val="AttributeTok"/>
        </w:rPr>
        <w:t xml:space="preserve">sample_prior =</w:t>
      </w:r>
      <w:r>
        <w:rPr>
          <w:rStyle w:val="NormalTok"/>
        </w:rPr>
        <w:t xml:space="preserve"> </w:t>
      </w:r>
      <w:r>
        <w:rPr>
          <w:rStyle w:val="StringTok"/>
        </w:rPr>
        <w:t xml:space="preserve">"no"</w:t>
      </w:r>
      <w:r>
        <w:rPr>
          <w:rStyle w:val="NormalTok"/>
        </w:rPr>
        <w:t xml:space="preserve">, </w:t>
      </w:r>
      <w:r>
        <w:rPr>
          <w:rStyle w:val="AttributeTok"/>
        </w:rPr>
        <w:t xml:space="preserve">control =</w:t>
      </w:r>
      <w:r>
        <w:rPr>
          <w:rStyle w:val="NormalTok"/>
        </w:rPr>
        <w:t xml:space="preserve"> </w:t>
      </w:r>
      <w:r>
        <w:rPr>
          <w:rStyle w:val="FunctionTok"/>
        </w:rPr>
        <w:t xml:space="preserve">list</w:t>
      </w:r>
      <w:r>
        <w:rPr>
          <w:rStyle w:val="NormalTok"/>
        </w:rPr>
        <w:t xml:space="preserve">(</w:t>
      </w:r>
      <w:r>
        <w:rPr>
          <w:rStyle w:val="AttributeTok"/>
        </w:rPr>
        <w:t xml:space="preserve">adapt_delta =</w:t>
      </w:r>
      <w:r>
        <w:rPr>
          <w:rStyle w:val="NormalTok"/>
        </w:rPr>
        <w:t xml:space="preserve"> </w:t>
      </w:r>
      <w:r>
        <w:rPr>
          <w:rStyle w:val="FloatTok"/>
        </w:rPr>
        <w:t xml:space="preserve">0.95</w:t>
      </w:r>
      <w:r>
        <w:rPr>
          <w:rStyle w:val="NormalTok"/>
        </w:rPr>
        <w:t xml:space="preserve">)</w:t>
      </w:r>
      <w:r>
        <w:br/>
      </w:r>
      <w:r>
        <w:rPr>
          <w:rStyle w:val="NormalTok"/>
        </w:rPr>
        <w:t xml:space="preserve">)</w:t>
      </w:r>
    </w:p>
    <w:bookmarkEnd w:id="82"/>
    <w:bookmarkEnd w:id="83"/>
    <w:bookmarkStart w:id="104" w:name="model-validation-and-interpretation"/>
    <w:p>
      <w:pPr>
        <w:pStyle w:val="Heading2"/>
      </w:pPr>
      <w:r>
        <w:t xml:space="preserve">Model validation and interpretation</w:t>
      </w:r>
    </w:p>
    <w:p>
      <w:pPr>
        <w:pStyle w:val="FirstParagraph"/>
      </w:pPr>
      <w:r>
        <w:t xml:space="preserve">In this section, we demonstrate how to assess model fit and interpret model parameters using posterior retrodictive checks with the</w:t>
      </w:r>
      <w:r>
        <w:t xml:space="preserve"> </w:t>
      </w:r>
      <w:r>
        <w:rPr>
          <w:rStyle w:val="VerbatimChar"/>
        </w:rPr>
        <w:t xml:space="preserve">hmetad</w:t>
      </w:r>
      <w:r>
        <w:t xml:space="preserve"> </w:t>
      </w:r>
      <w:r>
        <w:t xml:space="preserve">package. A posterior retrodictive check compares visualizations of our empirical data with the same visualizations computed from data simulated from the fitted model parameters. A close match indicates that the model is adequately capturing the qualitative features of the data. That is, we would like to know whether the model makes predictions of Type I and Type II responses that resemble the responses in the data. Having already completed a thorough prior predictive check, the posterior retrodictive check is straightforward: simply generate the same estimates and visualizations using the posterior distribution, only this time overlaying the data for comparison.</w:t>
      </w:r>
    </w:p>
    <w:p>
      <w:pPr>
        <w:pStyle w:val="BodyText"/>
      </w:pPr>
      <w:r>
        <w:t xml:space="preserve">As a preliminary check, we can obtain the joint Type I/Type II response probabilities averaged across all participants. Here we focus on joint probabilities (rather than simply Type II probabilities) because they reflect differences in both Type I and Type II parameters.</w:t>
      </w:r>
    </w:p>
    <w:p>
      <w:pPr>
        <w:pStyle w:val="SourceCode"/>
      </w:pPr>
      <w:r>
        <w:rPr>
          <w:rStyle w:val="NormalTok"/>
        </w:rPr>
        <w:t xml:space="preserve">draws.epred </w:t>
      </w:r>
      <w:r>
        <w:rPr>
          <w:rStyle w:val="OtherTok"/>
        </w:rPr>
        <w:t xml:space="preserve">&lt;-</w:t>
      </w:r>
      <w:r>
        <w:rPr>
          <w:rStyle w:val="NormalTok"/>
        </w:rPr>
        <w:t xml:space="preserve"> d </w:t>
      </w:r>
      <w:r>
        <w:rPr>
          <w:rStyle w:val="SpecialCharTok"/>
        </w:rPr>
        <w:t xml:space="preserve">|&gt;</w:t>
      </w:r>
      <w:r>
        <w:br/>
      </w:r>
      <w:r>
        <w:rPr>
          <w:rStyle w:val="NormalTok"/>
        </w:rPr>
        <w:t xml:space="preserve">  </w:t>
      </w:r>
      <w:r>
        <w:rPr>
          <w:rStyle w:val="FunctionTok"/>
        </w:rPr>
        <w:t xml:space="preserve">distinct</w:t>
      </w:r>
      <w:r>
        <w:rPr>
          <w:rStyle w:val="NormalTok"/>
        </w:rPr>
        <w:t xml:space="preserve">(participant, anxious_depression) </w:t>
      </w:r>
      <w:r>
        <w:rPr>
          <w:rStyle w:val="SpecialCharTok"/>
        </w:rPr>
        <w:t xml:space="preserve">|&gt;</w:t>
      </w:r>
      <w:r>
        <w:br/>
      </w:r>
      <w:r>
        <w:rPr>
          <w:rStyle w:val="NormalTok"/>
        </w:rPr>
        <w:t xml:space="preserve">  </w:t>
      </w:r>
      <w:r>
        <w:rPr>
          <w:rStyle w:val="FunctionTok"/>
        </w:rPr>
        <w:t xml:space="preserve">add_epred_rvars_metad</w:t>
      </w:r>
      <w:r>
        <w:rPr>
          <w:rStyle w:val="NormalTok"/>
        </w:rPr>
        <w:t xml:space="preserve">(m, </w:t>
      </w:r>
      <w:r>
        <w:rPr>
          <w:rStyle w:val="AttributeTok"/>
        </w:rPr>
        <w:t xml:space="preserve">.stimulus =</w:t>
      </w:r>
      <w:r>
        <w:rPr>
          <w:rStyle w:val="NormalTok"/>
        </w:rPr>
        <w:t xml:space="preserve"> </w:t>
      </w:r>
      <w:r>
        <w:rPr>
          <w:rStyle w:val="StringTok"/>
        </w:rPr>
        <w:t xml:space="preserve">"stimulus_left"</w:t>
      </w:r>
      <w:r>
        <w:rPr>
          <w:rStyle w:val="NormalTok"/>
        </w:rPr>
        <w:t xml:space="preserve">, </w:t>
      </w:r>
      <w:r>
        <w:rPr>
          <w:rStyle w:val="AttributeTok"/>
        </w:rPr>
        <w:t xml:space="preserve">.response =</w:t>
      </w:r>
      <w:r>
        <w:rPr>
          <w:rStyle w:val="NormalTok"/>
        </w:rPr>
        <w:t xml:space="preserve"> </w:t>
      </w:r>
      <w:r>
        <w:rPr>
          <w:rStyle w:val="StringTok"/>
        </w:rPr>
        <w:t xml:space="preserve">"response_left"</w:t>
      </w:r>
      <w:r>
        <w:rPr>
          <w:rStyle w:val="NormalTok"/>
        </w:rPr>
        <w:t xml:space="preserve">) </w:t>
      </w:r>
      <w:r>
        <w:rPr>
          <w:rStyle w:val="SpecialCharTok"/>
        </w:rPr>
        <w:t xml:space="preserve">|&gt;</w:t>
      </w:r>
      <w:r>
        <w:br/>
      </w:r>
      <w:r>
        <w:rPr>
          <w:rStyle w:val="NormalTok"/>
        </w:rPr>
        <w:t xml:space="preserve">  </w:t>
      </w:r>
      <w:r>
        <w:rPr>
          <w:rStyle w:val="FunctionTok"/>
        </w:rPr>
        <w:t xml:space="preserve">group_by</w:t>
      </w:r>
      <w:r>
        <w:rPr>
          <w:rStyle w:val="NormalTok"/>
        </w:rPr>
        <w:t xml:space="preserve">(stimulus_left, joint_response)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AttributeTok"/>
        </w:rPr>
        <w:t xml:space="preserve">.epred =</w:t>
      </w:r>
      <w:r>
        <w:rPr>
          <w:rStyle w:val="NormalTok"/>
        </w:rPr>
        <w:t xml:space="preserve"> </w:t>
      </w:r>
      <w:r>
        <w:rPr>
          <w:rStyle w:val="FunctionTok"/>
        </w:rPr>
        <w:t xml:space="preserve">rvar_mean</w:t>
      </w:r>
      <w:r>
        <w:rPr>
          <w:rStyle w:val="NormalTok"/>
        </w:rPr>
        <w:t xml:space="preserve">(.epred))</w:t>
      </w:r>
      <w:r>
        <w:br/>
      </w:r>
      <w:r>
        <w:rPr>
          <w:rStyle w:val="NormalTok"/>
        </w:rPr>
        <w:t xml:space="preserve">draws.epred</w:t>
      </w:r>
    </w:p>
    <w:p>
      <w:pPr>
        <w:pStyle w:val="SourceCode"/>
      </w:pPr>
      <w:r>
        <w:rPr>
          <w:rStyle w:val="VerbatimChar"/>
        </w:rPr>
        <w:t xml:space="preserve"># A tibble: 12 × 3</w:t>
      </w:r>
      <w:r>
        <w:br/>
      </w:r>
      <w:r>
        <w:rPr>
          <w:rStyle w:val="VerbatimChar"/>
        </w:rPr>
        <w:t xml:space="preserve"># Groups:   stimulus_left [2]</w:t>
      </w:r>
      <w:r>
        <w:br/>
      </w:r>
      <w:r>
        <w:rPr>
          <w:rStyle w:val="VerbatimChar"/>
        </w:rPr>
        <w:t xml:space="preserve">   stimulus_left joint_response           .epred</w:t>
      </w:r>
      <w:r>
        <w:br/>
      </w:r>
      <w:r>
        <w:rPr>
          <w:rStyle w:val="VerbatimChar"/>
        </w:rPr>
        <w:t xml:space="preserve">           &lt;int&gt;          &lt;int&gt;       &lt;rvar[1d]&gt;</w:t>
      </w:r>
      <w:r>
        <w:br/>
      </w:r>
      <w:r>
        <w:rPr>
          <w:rStyle w:val="VerbatimChar"/>
        </w:rPr>
        <w:t xml:space="preserve"> 1             0              1  0.281 ± 0.00176</w:t>
      </w:r>
      <w:r>
        <w:br/>
      </w:r>
      <w:r>
        <w:rPr>
          <w:rStyle w:val="VerbatimChar"/>
        </w:rPr>
        <w:t xml:space="preserve"> 2             0              2  0.205 ± 0.00158</w:t>
      </w:r>
      <w:r>
        <w:br/>
      </w:r>
      <w:r>
        <w:rPr>
          <w:rStyle w:val="VerbatimChar"/>
        </w:rPr>
        <w:t xml:space="preserve"> 3             0              3  0.217 ± 0.00160</w:t>
      </w:r>
      <w:r>
        <w:br/>
      </w:r>
      <w:r>
        <w:rPr>
          <w:rStyle w:val="VerbatimChar"/>
        </w:rPr>
        <w:t xml:space="preserve"> 4             0              4  0.150 ± 0.00144</w:t>
      </w:r>
      <w:r>
        <w:br/>
      </w:r>
      <w:r>
        <w:rPr>
          <w:rStyle w:val="VerbatimChar"/>
        </w:rPr>
        <w:t xml:space="preserve"> 5             0              5  0.079 ± 0.00087</w:t>
      </w:r>
      <w:r>
        <w:br/>
      </w:r>
      <w:r>
        <w:rPr>
          <w:rStyle w:val="VerbatimChar"/>
        </w:rPr>
        <w:t xml:space="preserve"> 6             0              6  0.068 ± 0.00090</w:t>
      </w:r>
      <w:r>
        <w:br/>
      </w:r>
      <w:r>
        <w:rPr>
          <w:rStyle w:val="VerbatimChar"/>
        </w:rPr>
        <w:t xml:space="preserve"> 7             1              1  0.052 ± 0.00075</w:t>
      </w:r>
      <w:r>
        <w:br/>
      </w:r>
      <w:r>
        <w:rPr>
          <w:rStyle w:val="VerbatimChar"/>
        </w:rPr>
        <w:t xml:space="preserve"> 8             1              2  0.068 ± 0.00081</w:t>
      </w:r>
      <w:r>
        <w:br/>
      </w:r>
      <w:r>
        <w:rPr>
          <w:rStyle w:val="VerbatimChar"/>
        </w:rPr>
        <w:t xml:space="preserve"> 9             1              3  0.120 ± 0.00129</w:t>
      </w:r>
      <w:r>
        <w:br/>
      </w:r>
      <w:r>
        <w:rPr>
          <w:rStyle w:val="VerbatimChar"/>
        </w:rPr>
        <w:t xml:space="preserve">10             1              4  0.229 ± 0.00162</w:t>
      </w:r>
      <w:r>
        <w:br/>
      </w:r>
      <w:r>
        <w:rPr>
          <w:rStyle w:val="VerbatimChar"/>
        </w:rPr>
        <w:t xml:space="preserve">11             1              5  0.207 ± 0.00156</w:t>
      </w:r>
      <w:r>
        <w:br/>
      </w:r>
      <w:r>
        <w:rPr>
          <w:rStyle w:val="VerbatimChar"/>
        </w:rPr>
        <w:t xml:space="preserve">12             1              6  0.324 ± 0.00181</w:t>
      </w:r>
    </w:p>
    <w:bookmarkStart w:id="87" w:name="fig-epred"/>
    <w:p>
      <w:pPr>
        <w:pStyle w:val="FigureTitle"/>
      </w:pPr>
      <w:r>
        <w:t xml:space="preserve">Figure 5</w:t>
      </w:r>
    </w:p>
    <w:p>
      <w:pPr>
        <w:pStyle w:val="Caption"/>
      </w:pPr>
      <w:r>
        <w:t xml:space="preserve">Posterior predictions of joint Type I/Type II probabilities, i.e.,</w:t>
      </w:r>
      <w:r>
        <w:t xml:space="preserve"> </w:t>
      </w:r>
      <m:oMath>
        <m:r>
          <m:t>P</m:t>
        </m:r>
        <m:r>
          <m:rPr>
            <m:sty m:val="p"/>
          </m:rPr>
          <m:t>(</m:t>
        </m:r>
        <m:r>
          <m:t>C</m:t>
        </m:r>
        <m:r>
          <m:rPr>
            <m:sty m:val="p"/>
          </m:rPr>
          <m:t>=</m:t>
        </m:r>
        <m:r>
          <m:t>c</m:t>
        </m:r>
        <m:r>
          <m:rPr>
            <m:sty m:val="p"/>
          </m:rPr>
          <m:t>,</m:t>
        </m:r>
        <m:r>
          <m:t>R</m:t>
        </m:r>
        <m:r>
          <m:rPr>
            <m:sty m:val="p"/>
          </m:rPr>
          <m:t>=</m:t>
        </m:r>
        <m:r>
          <m:t>r</m:t>
        </m:r>
        <m:r>
          <m:t> </m:t>
        </m:r>
        <m:r>
          <m:rPr>
            <m:sty m:val="p"/>
          </m:rPr>
          <m:t>|</m:t>
        </m:r>
        <m:r>
          <m:t> </m:t>
        </m:r>
        <m:r>
          <m:t>S</m:t>
        </m:r>
        <m:r>
          <m:rPr>
            <m:sty m:val="p"/>
          </m:rPr>
          <m:t>=</m:t>
        </m:r>
        <m:r>
          <m:t>s</m:t>
        </m:r>
        <m:r>
          <m:rPr>
            <m:sty m:val="p"/>
          </m:rPr>
          <m:t>)</m:t>
        </m:r>
      </m:oMath>
      <w:r>
        <w:t xml:space="preserve">.</w:t>
      </w:r>
      <w:r>
        <w:t xml:space="preserve"> </w:t>
      </w:r>
      <w:r>
        <w:rPr>
          <w:i/>
          <w:iCs/>
        </w:rPr>
        <w:t xml:space="preserve">(A)</w:t>
      </w:r>
      <w:r>
        <w:t xml:space="preserve"> </w:t>
      </w:r>
      <w:r>
        <w:t xml:space="preserve">Posterior predictions and data averaged across participants.</w:t>
      </w:r>
      <w:r>
        <w:t xml:space="preserve"> </w:t>
      </w:r>
      <w:r>
        <w:rPr>
          <w:i/>
          <w:iCs/>
        </w:rPr>
        <w:t xml:space="preserve">(B)</w:t>
      </w:r>
      <w:r>
        <w:t xml:space="preserve"> </w:t>
      </w:r>
      <w:r>
        <w:t xml:space="preserve">Posterior predictions and data for a single example participant</w:t>
      </w:r>
    </w:p>
    <w:p>
      <w:pPr>
        <w:pStyle w:val="FigureWithNote"/>
      </w:pPr>
      <w:r>
        <w:drawing>
          <wp:inline>
            <wp:extent cx="5943600" cy="4754880"/>
            <wp:effectExtent b="0" l="0" r="0" t="0"/>
            <wp:docPr descr="" title="" id="85" name="Picture"/>
            <a:graphic>
              <a:graphicData uri="http://schemas.openxmlformats.org/drawingml/2006/picture">
                <pic:pic>
                  <pic:nvPicPr>
                    <pic:cNvPr descr="index_files/figure-docx/fig-epred-1.png" id="86" name="Picture"/>
                    <pic:cNvPicPr>
                      <a:picLocks noChangeArrowheads="1" noChangeAspect="1"/>
                    </pic:cNvPicPr>
                  </pic:nvPicPr>
                  <pic:blipFill>
                    <a:blip r:embed="rId84"/>
                    <a:stretch>
                      <a:fillRect/>
                    </a:stretch>
                  </pic:blipFill>
                  <pic:spPr bwMode="auto">
                    <a:xfrm>
                      <a:off x="0" y="0"/>
                      <a:ext cx="5943600" cy="4754880"/>
                    </a:xfrm>
                    <a:prstGeom prst="rect">
                      <a:avLst/>
                    </a:prstGeom>
                    <a:noFill/>
                    <a:ln w="9525">
                      <a:noFill/>
                      <a:headEnd/>
                      <a:tailEnd/>
                    </a:ln>
                  </pic:spPr>
                </pic:pic>
              </a:graphicData>
            </a:graphic>
          </wp:inline>
        </w:drawing>
      </w:r>
    </w:p>
    <w:bookmarkEnd w:id="87"/>
    <w:p>
      <w:pPr>
        <w:pStyle w:val="FigureNote"/>
      </w:pPr>
      <w:r>
        <w:rPr>
          <w:i/>
          <w:iCs/>
        </w:rPr>
        <w:t xml:space="preserve">Note</w:t>
      </w:r>
      <w:r>
        <w:t xml:space="preserve">. Bars depict empirical probabilities and points and intervals depict posterior medians and 95% credible intervals.</w:t>
      </w:r>
    </w:p>
    <w:p>
      <w:pPr>
        <w:pStyle w:val="BodyText"/>
      </w:pPr>
      <w:r>
        <w:t xml:space="preserve">Comparing these probabilities with the empirical probabilities aggregated over participants (</w:t>
      </w:r>
      <w:hyperlink w:anchor="fig-epred">
        <w:r>
          <w:rPr>
            <w:rStyle w:val="Hyperlink"/>
          </w:rPr>
          <w:t xml:space="preserve">Figure 5</w:t>
        </w:r>
      </w:hyperlink>
      <w:r>
        <w:t xml:space="preserve">A), we can see that the model predicts Type I and Type II responses quite well. We can also investigate model predictions for individual participants to get an even more informative picture. Looking at an example participant in</w:t>
      </w:r>
      <w:r>
        <w:t xml:space="preserve"> </w:t>
      </w:r>
      <w:hyperlink w:anchor="fig-epred">
        <w:r>
          <w:rPr>
            <w:rStyle w:val="Hyperlink"/>
          </w:rPr>
          <w:t xml:space="preserve">Figure 5</w:t>
        </w:r>
      </w:hyperlink>
      <w:r>
        <w:t xml:space="preserve">B, we see that the model predictions are somewhat uncertain but also fit the data well. Note that posterior retrodictive checks such as these are meant only to identify model degeneracies that are relevant for the research question at hand. In cases where the model has clear predictive limitations, then, it is up to the researcher to decide whether those limitations reflect violations of relevant modeling assumptions that should be revised before proceeding, or if instead the limitations reflect details outside of the scope of the current project.</w:t>
      </w:r>
    </w:p>
    <w:p>
      <w:pPr>
        <w:pStyle w:val="BodyText"/>
      </w:pPr>
      <w:r>
        <w:t xml:space="preserve">There are countless other kinds of model quantities and visualizations that can contribute to a more complete picture of the empirical adequacy of our model for our research question, including predictions of Type I and Type II probabilities, Type I and Type II Receiver Operating Characteristic curves (ROCs), area under the Type I and Type II ROCs, and mean confidence. Because all of these quantities use a shared interface, checking them involves a similar process. For example, we can also compute Type II ROCs (plotted in</w:t>
      </w:r>
      <w:r>
        <w:t xml:space="preserve"> </w:t>
      </w:r>
      <w:hyperlink w:anchor="fig-roc2">
        <w:r>
          <w:rPr>
            <w:rStyle w:val="Hyperlink"/>
          </w:rPr>
          <w:t xml:space="preserve">Figure 6</w:t>
        </w:r>
      </w:hyperlink>
      <w:r>
        <w:t xml:space="preserve">):</w:t>
      </w:r>
    </w:p>
    <w:p>
      <w:pPr>
        <w:pStyle w:val="SourceCode"/>
      </w:pPr>
      <w:r>
        <w:rPr>
          <w:rStyle w:val="NormalTok"/>
        </w:rPr>
        <w:t xml:space="preserve">draws.roc2 </w:t>
      </w:r>
      <w:r>
        <w:rPr>
          <w:rStyle w:val="OtherTok"/>
        </w:rPr>
        <w:t xml:space="preserve">&lt;-</w:t>
      </w:r>
      <w:r>
        <w:rPr>
          <w:rStyle w:val="NormalTok"/>
        </w:rPr>
        <w:t xml:space="preserve"> </w:t>
      </w:r>
      <w:r>
        <w:rPr>
          <w:rStyle w:val="FunctionTok"/>
        </w:rPr>
        <w:t xml:space="preserve">roc2_rvars</w:t>
      </w:r>
      <w:r>
        <w:rPr>
          <w:rStyle w:val="NormalTok"/>
        </w:rPr>
        <w:t xml:space="preserve">(</w:t>
      </w:r>
      <w:r>
        <w:br/>
      </w:r>
      <w:r>
        <w:rPr>
          <w:rStyle w:val="NormalTok"/>
        </w:rPr>
        <w:t xml:space="preserve">  m, newdata,</w:t>
      </w:r>
      <w:r>
        <w:br/>
      </w:r>
      <w:r>
        <w:rPr>
          <w:rStyle w:val="NormalTok"/>
        </w:rPr>
        <w:t xml:space="preserve">  </w:t>
      </w:r>
      <w:r>
        <w:rPr>
          <w:rStyle w:val="AttributeTok"/>
        </w:rPr>
        <w:t xml:space="preserve">re_formula =</w:t>
      </w:r>
      <w:r>
        <w:rPr>
          <w:rStyle w:val="NormalTok"/>
        </w:rPr>
        <w:t xml:space="preserve"> </w:t>
      </w:r>
      <w:r>
        <w:rPr>
          <w:rStyle w:val="ConstantTok"/>
        </w:rPr>
        <w:t xml:space="preserve">NA</w:t>
      </w:r>
      <w:r>
        <w:rPr>
          <w:rStyle w:val="NormalTok"/>
        </w:rPr>
        <w:t xml:space="preserve">, </w:t>
      </w:r>
      <w:r>
        <w:rPr>
          <w:rStyle w:val="AttributeTok"/>
        </w:rPr>
        <w:t xml:space="preserve">bounds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.response =</w:t>
      </w:r>
      <w:r>
        <w:rPr>
          <w:rStyle w:val="NormalTok"/>
        </w:rPr>
        <w:t xml:space="preserve"> </w:t>
      </w:r>
      <w:r>
        <w:rPr>
          <w:rStyle w:val="StringTok"/>
        </w:rPr>
        <w:t xml:space="preserve">"response_left"</w:t>
      </w:r>
      <w:r>
        <w:rPr>
          <w:rStyle w:val="NormalTok"/>
        </w:rPr>
        <w:t xml:space="preserve">, </w:t>
      </w:r>
      <w:r>
        <w:rPr>
          <w:rStyle w:val="AttributeTok"/>
        </w:rPr>
        <w:t xml:space="preserve">by_response =</w:t>
      </w:r>
      <w:r>
        <w:rPr>
          <w:rStyle w:val="NormalTok"/>
        </w:rPr>
        <w:t xml:space="preserve"> </w:t>
      </w:r>
      <w:r>
        <w:rPr>
          <w:rStyle w:val="ConstantTok"/>
        </w:rPr>
        <w:t xml:space="preserve">FALSE</w:t>
      </w:r>
      <w:r>
        <w:br/>
      </w:r>
      <w:r>
        <w:rPr>
          <w:rStyle w:val="NormalTok"/>
        </w:rPr>
        <w:t xml:space="preserve">)</w:t>
      </w:r>
      <w:r>
        <w:br/>
      </w:r>
      <w:r>
        <w:rPr>
          <w:rStyle w:val="NormalTok"/>
        </w:rPr>
        <w:t xml:space="preserve">draws.roc2</w:t>
      </w:r>
    </w:p>
    <w:p>
      <w:pPr>
        <w:pStyle w:val="SourceCode"/>
      </w:pPr>
      <w:r>
        <w:rPr>
          <w:rStyle w:val="VerbatimChar"/>
        </w:rPr>
        <w:t xml:space="preserve"># A tibble: 4 × 5</w:t>
      </w:r>
      <w:r>
        <w:br/>
      </w:r>
      <w:r>
        <w:rPr>
          <w:rStyle w:val="VerbatimChar"/>
        </w:rPr>
        <w:t xml:space="preserve"># Groups:   .row, anxious_depression, confidence [4]</w:t>
      </w:r>
      <w:r>
        <w:br/>
      </w:r>
      <w:r>
        <w:rPr>
          <w:rStyle w:val="VerbatimChar"/>
        </w:rPr>
        <w:t xml:space="preserve">   .row anxious_depression confidence         p_hit2         p_fa2</w:t>
      </w:r>
      <w:r>
        <w:br/>
      </w:r>
      <w:r>
        <w:rPr>
          <w:rStyle w:val="VerbatimChar"/>
        </w:rPr>
        <w:t xml:space="preserve">  &lt;int&gt;              &lt;dbl&gt;      &lt;int&gt;     &lt;rvar[1d]&gt;    &lt;rvar[1d]&gt;</w:t>
      </w:r>
      <w:r>
        <w:br/>
      </w:r>
      <w:r>
        <w:rPr>
          <w:rStyle w:val="VerbatimChar"/>
        </w:rPr>
        <w:t xml:space="preserve">1     1                  0          0  1.00 ± 0.0000  1.00 ± 0.000</w:t>
      </w:r>
      <w:r>
        <w:br/>
      </w:r>
      <w:r>
        <w:rPr>
          <w:rStyle w:val="VerbatimChar"/>
        </w:rPr>
        <w:t xml:space="preserve">2     1                  0          1  0.74 ± 0.0098  0.53 ± 0.014</w:t>
      </w:r>
      <w:r>
        <w:br/>
      </w:r>
      <w:r>
        <w:rPr>
          <w:rStyle w:val="VerbatimChar"/>
        </w:rPr>
        <w:t xml:space="preserve">3     1                  0          2  0.45 ± 0.0147  0.21 ± 0.012</w:t>
      </w:r>
      <w:r>
        <w:br/>
      </w:r>
      <w:r>
        <w:rPr>
          <w:rStyle w:val="VerbatimChar"/>
        </w:rPr>
        <w:t xml:space="preserve">4     1                  0          3  0.00 ± 0.0000  0.00 ± 0.000</w:t>
      </w:r>
    </w:p>
    <w:bookmarkStart w:id="91" w:name="fig-roc2"/>
    <w:p>
      <w:pPr>
        <w:pStyle w:val="FigureTitle"/>
      </w:pPr>
      <w:r>
        <w:t xml:space="preserve">Figure 6</w:t>
      </w:r>
    </w:p>
    <w:p>
      <w:pPr>
        <w:pStyle w:val="Caption"/>
      </w:pPr>
      <w:r>
        <w:t xml:space="preserve">Posterior predictions of Type II Receiver Operating Characteristic curves (ROCs).</w:t>
      </w:r>
      <w:r>
        <w:t xml:space="preserve"> </w:t>
      </w:r>
      <w:r>
        <w:rPr>
          <w:i/>
          <w:iCs/>
        </w:rPr>
        <w:t xml:space="preserve">(A)</w:t>
      </w:r>
      <w:r>
        <w:t xml:space="preserve"> </w:t>
      </w:r>
      <w:r>
        <w:t xml:space="preserve">Posterior predictions when all predictors are set to zero compared to data aggregated across participants.</w:t>
      </w:r>
      <w:r>
        <w:t xml:space="preserve"> </w:t>
      </w:r>
      <w:r>
        <w:rPr>
          <w:i/>
          <w:iCs/>
        </w:rPr>
        <w:t xml:space="preserve">(B)</w:t>
      </w:r>
      <w:r>
        <w:t xml:space="preserve"> </w:t>
      </w:r>
      <w:r>
        <w:t xml:space="preserve">Posterior predictions and data for a single example participant.</w:t>
      </w:r>
    </w:p>
    <w:p>
      <w:pPr>
        <w:pStyle w:val="FigureWithNote"/>
      </w:pPr>
      <w:r>
        <w:drawing>
          <wp:inline>
            <wp:extent cx="5943600" cy="2971800"/>
            <wp:effectExtent b="0" l="0" r="0" t="0"/>
            <wp:docPr descr="" title="" id="89" name="Picture"/>
            <a:graphic>
              <a:graphicData uri="http://schemas.openxmlformats.org/drawingml/2006/picture">
                <pic:pic>
                  <pic:nvPicPr>
                    <pic:cNvPr descr="index_files/figure-docx/fig-roc2-1.png" id="90" name="Picture"/>
                    <pic:cNvPicPr>
                      <a:picLocks noChangeArrowheads="1" noChangeAspect="1"/>
                    </pic:cNvPicPr>
                  </pic:nvPicPr>
                  <pic:blipFill>
                    <a:blip r:embed="rId88"/>
                    <a:stretch>
                      <a:fillRect/>
                    </a:stretch>
                  </pic:blipFill>
                  <pic:spPr bwMode="auto">
                    <a:xfrm>
                      <a:off x="0" y="0"/>
                      <a:ext cx="5943600" cy="2971800"/>
                    </a:xfrm>
                    <a:prstGeom prst="rect">
                      <a:avLst/>
                    </a:prstGeom>
                    <a:noFill/>
                    <a:ln w="9525">
                      <a:noFill/>
                      <a:headEnd/>
                      <a:tailEnd/>
                    </a:ln>
                  </pic:spPr>
                </pic:pic>
              </a:graphicData>
            </a:graphic>
          </wp:inline>
        </w:drawing>
      </w:r>
    </w:p>
    <w:bookmarkEnd w:id="91"/>
    <w:p>
      <w:pPr>
        <w:pStyle w:val="FigureNote"/>
      </w:pPr>
      <w:r>
        <w:rPr>
          <w:i/>
          <w:iCs/>
        </w:rPr>
        <w:t xml:space="preserve">Note</w:t>
      </w:r>
      <w:r>
        <w:t xml:space="preserve">. Bars depict complementary cumulative posterior probabilities and points depict empirical probabilities.</w:t>
      </w:r>
    </w:p>
    <w:p>
      <w:pPr>
        <w:pStyle w:val="BodyText"/>
      </w:pPr>
      <w:r>
        <w:t xml:space="preserve">Notably, while each of these implied quantities can help understand the limitations of the model, they are all derived from the joint Type I/Type II response probabilities determined by the signal detection theoretic parameters.</w:t>
      </w:r>
    </w:p>
    <w:p>
      <w:pPr>
        <w:pStyle w:val="BodyText"/>
      </w:pPr>
      <w:r>
        <w:t xml:space="preserve">Now that we have verified that our model can describe the overall distribution of participants’ responses and confidence ratings, we can inspect the model to answer the research question posed by</w:t>
      </w:r>
      <w:r>
        <w:t xml:space="preserve"> </w:t>
      </w:r>
      <w:r>
        <w:t xml:space="preserve">Rouault et al. (</w:t>
      </w:r>
      <w:hyperlink w:anchor="ref-rouault2018">
        <w:r>
          <w:rPr>
            <w:rStyle w:val="Hyperlink"/>
          </w:rPr>
          <w:t xml:space="preserve">2018</w:t>
        </w:r>
      </w:hyperlink>
      <w:r>
        <w:t xml:space="preserve">)</w:t>
      </w:r>
      <w:r>
        <w:t xml:space="preserve">: how is anxious-depression related to metacognition? As an initial approach, we can display the model summary:</w:t>
      </w:r>
    </w:p>
    <w:p>
      <w:pPr>
        <w:pStyle w:val="SourceCode"/>
      </w:pPr>
      <w:r>
        <w:rPr>
          <w:rStyle w:val="FunctionTok"/>
        </w:rPr>
        <w:t xml:space="preserve">summary</w:t>
      </w:r>
      <w:r>
        <w:rPr>
          <w:rStyle w:val="NormalTok"/>
        </w:rPr>
        <w:t xml:space="preserve">(m)</w:t>
      </w:r>
    </w:p>
    <w:p>
      <w:pPr>
        <w:pStyle w:val="SourceCode"/>
      </w:pPr>
      <w:r>
        <w:rPr>
          <w:rStyle w:val="VerbatimChar"/>
        </w:rPr>
        <w:t xml:space="preserve">Multilevel Hyperparameters:</w:t>
      </w:r>
      <w:r>
        <w:br/>
      </w:r>
      <w:r>
        <w:rPr>
          <w:rStyle w:val="VerbatimChar"/>
        </w:rPr>
        <w:t xml:space="preserve">~participant (Number of levels: 453) </w:t>
      </w:r>
      <w:r>
        <w:br/>
      </w:r>
      <w:r>
        <w:rPr>
          <w:rStyle w:val="VerbatimChar"/>
        </w:rPr>
        <w:t xml:space="preserve">                                                         Estimate Est.Error</w:t>
      </w:r>
      <w:r>
        <w:br/>
      </w:r>
      <w:r>
        <w:rPr>
          <w:rStyle w:val="VerbatimChar"/>
        </w:rPr>
        <w:t xml:space="preserve">sd(Intercept)                                                0.34      0.02</w:t>
      </w:r>
      <w:r>
        <w:br/>
      </w:r>
      <w:r>
        <w:rPr>
          <w:rStyle w:val="VerbatimChar"/>
        </w:rPr>
        <w:t xml:space="preserve">sd(dprime_Intercept)                                         0.01      0.01</w:t>
      </w:r>
      <w:r>
        <w:br/>
      </w:r>
      <w:r>
        <w:rPr>
          <w:rStyle w:val="VerbatimChar"/>
        </w:rPr>
        <w:t xml:space="preserve">sd(c_Intercept)                                              0.33      0.01</w:t>
      </w:r>
      <w:r>
        <w:br/>
      </w:r>
      <w:r>
        <w:rPr>
          <w:rStyle w:val="VerbatimChar"/>
        </w:rPr>
        <w:t xml:space="preserve">sd(metac2zero1diff_Intercept)                                0.79      0.03</w:t>
      </w:r>
      <w:r>
        <w:br/>
      </w:r>
      <w:r>
        <w:rPr>
          <w:rStyle w:val="VerbatimChar"/>
        </w:rPr>
        <w:t xml:space="preserve">sd(metac2zero2diff_Intercept)                                0.66      0.03</w:t>
      </w:r>
      <w:r>
        <w:br/>
      </w:r>
      <w:r>
        <w:rPr>
          <w:rStyle w:val="VerbatimChar"/>
        </w:rPr>
        <w:t xml:space="preserve">sd(metac2one1diff_Intercept)                                 0.74      0.03</w:t>
      </w:r>
      <w:r>
        <w:br/>
      </w:r>
      <w:r>
        <w:rPr>
          <w:rStyle w:val="VerbatimChar"/>
        </w:rPr>
        <w:t xml:space="preserve">sd(metac2one2diff_Intercept)                                 0.65      0.03</w:t>
      </w:r>
      <w:r>
        <w:br/>
      </w:r>
      <w:r>
        <w:rPr>
          <w:rStyle w:val="VerbatimChar"/>
        </w:rPr>
        <w:t xml:space="preserve">cor(metac2zero1diff_Intercept,metac2zero2diff_Intercept)     0.44      0.04</w:t>
      </w:r>
      <w:r>
        <w:br/>
      </w:r>
      <w:r>
        <w:rPr>
          <w:rStyle w:val="VerbatimChar"/>
        </w:rPr>
        <w:t xml:space="preserve">cor(metac2zero1diff_Intercept,metac2one1diff_Intercept)      0.92      0.01</w:t>
      </w:r>
      <w:r>
        <w:br/>
      </w:r>
      <w:r>
        <w:rPr>
          <w:rStyle w:val="VerbatimChar"/>
        </w:rPr>
        <w:t xml:space="preserve">cor(metac2zero2diff_Intercept,metac2one1diff_Intercept)      0.43      0.04</w:t>
      </w:r>
      <w:r>
        <w:br/>
      </w:r>
      <w:r>
        <w:rPr>
          <w:rStyle w:val="VerbatimChar"/>
        </w:rPr>
        <w:t xml:space="preserve">cor(metac2zero1diff_Intercept,metac2one2diff_Intercept)      0.37      0.04</w:t>
      </w:r>
      <w:r>
        <w:br/>
      </w:r>
      <w:r>
        <w:rPr>
          <w:rStyle w:val="VerbatimChar"/>
        </w:rPr>
        <w:t xml:space="preserve">cor(metac2zero2diff_Intercept,metac2one2diff_Intercept)      0.95      0.01</w:t>
      </w:r>
      <w:r>
        <w:br/>
      </w:r>
      <w:r>
        <w:rPr>
          <w:rStyle w:val="VerbatimChar"/>
        </w:rPr>
        <w:t xml:space="preserve">cor(metac2one1diff_Intercept,metac2one2diff_Intercept)       0.38      0.04</w:t>
      </w:r>
      <w:r>
        <w:br/>
      </w:r>
      <w:r>
        <w:rPr>
          <w:rStyle w:val="VerbatimChar"/>
        </w:rPr>
        <w:t xml:space="preserve">                                                         l-95% CI u-95% CI Rhat</w:t>
      </w:r>
      <w:r>
        <w:br/>
      </w:r>
      <w:r>
        <w:rPr>
          <w:rStyle w:val="VerbatimChar"/>
        </w:rPr>
        <w:t xml:space="preserve">sd(Intercept)                                                0.31     0.38 1.00</w:t>
      </w:r>
      <w:r>
        <w:br/>
      </w:r>
      <w:r>
        <w:rPr>
          <w:rStyle w:val="VerbatimChar"/>
        </w:rPr>
        <w:t xml:space="preserve">sd(dprime_Intercept)                                         0.00     0.04 1.00</w:t>
      </w:r>
      <w:r>
        <w:br/>
      </w:r>
      <w:r>
        <w:rPr>
          <w:rStyle w:val="VerbatimChar"/>
        </w:rPr>
        <w:t xml:space="preserve">sd(c_Intercept)                                              0.31     0.36 1.00</w:t>
      </w:r>
      <w:r>
        <w:br/>
      </w:r>
      <w:r>
        <w:rPr>
          <w:rStyle w:val="VerbatimChar"/>
        </w:rPr>
        <w:t xml:space="preserve">sd(metac2zero1diff_Intercept)                                0.73     0.85 1.00</w:t>
      </w:r>
      <w:r>
        <w:br/>
      </w:r>
      <w:r>
        <w:rPr>
          <w:rStyle w:val="VerbatimChar"/>
        </w:rPr>
        <w:t xml:space="preserve">sd(metac2zero2diff_Intercept)                                0.61     0.71 1.00</w:t>
      </w:r>
      <w:r>
        <w:br/>
      </w:r>
      <w:r>
        <w:rPr>
          <w:rStyle w:val="VerbatimChar"/>
        </w:rPr>
        <w:t xml:space="preserve">sd(metac2one1diff_Intercept)                                 0.69     0.80 1.00</w:t>
      </w:r>
      <w:r>
        <w:br/>
      </w:r>
      <w:r>
        <w:rPr>
          <w:rStyle w:val="VerbatimChar"/>
        </w:rPr>
        <w:t xml:space="preserve">sd(metac2one2diff_Intercept)                                 0.60     0.70 1.00</w:t>
      </w:r>
      <w:r>
        <w:br/>
      </w:r>
      <w:r>
        <w:rPr>
          <w:rStyle w:val="VerbatimChar"/>
        </w:rPr>
        <w:t xml:space="preserve">cor(metac2zero1diff_Intercept,metac2zero2diff_Intercept)     0.35     0.52 1.01</w:t>
      </w:r>
      <w:r>
        <w:br/>
      </w:r>
      <w:r>
        <w:rPr>
          <w:rStyle w:val="VerbatimChar"/>
        </w:rPr>
        <w:t xml:space="preserve">cor(metac2zero1diff_Intercept,metac2one1diff_Intercept)      0.90     0.94 1.00</w:t>
      </w:r>
      <w:r>
        <w:br/>
      </w:r>
      <w:r>
        <w:rPr>
          <w:rStyle w:val="VerbatimChar"/>
        </w:rPr>
        <w:t xml:space="preserve">cor(metac2zero2diff_Intercept,metac2one1diff_Intercept)      0.35     0.51 1.00</w:t>
      </w:r>
      <w:r>
        <w:br/>
      </w:r>
      <w:r>
        <w:rPr>
          <w:rStyle w:val="VerbatimChar"/>
        </w:rPr>
        <w:t xml:space="preserve">cor(metac2zero1diff_Intercept,metac2one2diff_Intercept)      0.28     0.46 1.00</w:t>
      </w:r>
      <w:r>
        <w:br/>
      </w:r>
      <w:r>
        <w:rPr>
          <w:rStyle w:val="VerbatimChar"/>
        </w:rPr>
        <w:t xml:space="preserve">cor(metac2zero2diff_Intercept,metac2one2diff_Intercept)      0.93     0.97 1.00</w:t>
      </w:r>
      <w:r>
        <w:br/>
      </w:r>
      <w:r>
        <w:rPr>
          <w:rStyle w:val="VerbatimChar"/>
        </w:rPr>
        <w:t xml:space="preserve">cor(metac2one1diff_Intercept,metac2one2diff_Intercept)       0.29     0.46 1.00</w:t>
      </w:r>
      <w:r>
        <w:br/>
      </w:r>
      <w:r>
        <w:rPr>
          <w:rStyle w:val="VerbatimChar"/>
        </w:rPr>
        <w:t xml:space="preserve">                                                         Bulk_ESS Tail_ESS</w:t>
      </w:r>
      <w:r>
        <w:br/>
      </w:r>
      <w:r>
        <w:rPr>
          <w:rStyle w:val="VerbatimChar"/>
        </w:rPr>
        <w:t xml:space="preserve">sd(Intercept)                                                8054    12112</w:t>
      </w:r>
      <w:r>
        <w:br/>
      </w:r>
      <w:r>
        <w:rPr>
          <w:rStyle w:val="VerbatimChar"/>
        </w:rPr>
        <w:t xml:space="preserve">sd(dprime_Intercept)                                         6876     7767</w:t>
      </w:r>
      <w:r>
        <w:br/>
      </w:r>
      <w:r>
        <w:rPr>
          <w:rStyle w:val="VerbatimChar"/>
        </w:rPr>
        <w:t xml:space="preserve">sd(c_Intercept)                                              2872     4878</w:t>
      </w:r>
      <w:r>
        <w:br/>
      </w:r>
      <w:r>
        <w:rPr>
          <w:rStyle w:val="VerbatimChar"/>
        </w:rPr>
        <w:t xml:space="preserve">sd(metac2zero1diff_Intercept)                                1858     4389</w:t>
      </w:r>
      <w:r>
        <w:br/>
      </w:r>
      <w:r>
        <w:rPr>
          <w:rStyle w:val="VerbatimChar"/>
        </w:rPr>
        <w:t xml:space="preserve">sd(metac2zero2diff_Intercept)                                2687     5216</w:t>
      </w:r>
      <w:r>
        <w:br/>
      </w:r>
      <w:r>
        <w:rPr>
          <w:rStyle w:val="VerbatimChar"/>
        </w:rPr>
        <w:t xml:space="preserve">sd(metac2one1diff_Intercept)                                 2351     4934</w:t>
      </w:r>
      <w:r>
        <w:br/>
      </w:r>
      <w:r>
        <w:rPr>
          <w:rStyle w:val="VerbatimChar"/>
        </w:rPr>
        <w:t xml:space="preserve">sd(metac2one2diff_Intercept)                                 3047     5630</w:t>
      </w:r>
      <w:r>
        <w:br/>
      </w:r>
      <w:r>
        <w:rPr>
          <w:rStyle w:val="VerbatimChar"/>
        </w:rPr>
        <w:t xml:space="preserve">cor(metac2zero1diff_Intercept,metac2zero2diff_Intercept)     1984     4056</w:t>
      </w:r>
      <w:r>
        <w:br/>
      </w:r>
      <w:r>
        <w:rPr>
          <w:rStyle w:val="VerbatimChar"/>
        </w:rPr>
        <w:t xml:space="preserve">cor(metac2zero1diff_Intercept,metac2one1diff_Intercept)      3411     7650</w:t>
      </w:r>
      <w:r>
        <w:br/>
      </w:r>
      <w:r>
        <w:rPr>
          <w:rStyle w:val="VerbatimChar"/>
        </w:rPr>
        <w:t xml:space="preserve">cor(metac2zero2diff_Intercept,metac2one1diff_Intercept)      2515     4728</w:t>
      </w:r>
      <w:r>
        <w:br/>
      </w:r>
      <w:r>
        <w:rPr>
          <w:rStyle w:val="VerbatimChar"/>
        </w:rPr>
        <w:t xml:space="preserve">cor(metac2zero1diff_Intercept,metac2one2diff_Intercept)      2168     4487</w:t>
      </w:r>
      <w:r>
        <w:br/>
      </w:r>
      <w:r>
        <w:rPr>
          <w:rStyle w:val="VerbatimChar"/>
        </w:rPr>
        <w:t xml:space="preserve">cor(metac2zero2diff_Intercept,metac2one2diff_Intercept)      4547     9154</w:t>
      </w:r>
      <w:r>
        <w:br/>
      </w:r>
      <w:r>
        <w:rPr>
          <w:rStyle w:val="VerbatimChar"/>
        </w:rPr>
        <w:t xml:space="preserve">cor(metac2one1diff_Intercept,metac2one2diff_Intercept)       2757     5403</w:t>
      </w:r>
      <w:r>
        <w:br/>
      </w:r>
      <w:r>
        <w:br/>
      </w:r>
      <w:r>
        <w:rPr>
          <w:rStyle w:val="VerbatimChar"/>
        </w:rPr>
        <w:t xml:space="preserve">Regression Coefficients:</w:t>
      </w:r>
      <w:r>
        <w:br/>
      </w:r>
      <w:r>
        <w:rPr>
          <w:rStyle w:val="VerbatimChar"/>
        </w:rPr>
        <w:t xml:space="preserve">                                   Estimate Est.Error l-95% CI u-95% CI Rhat</w:t>
      </w:r>
    </w:p>
    <w:p>
      <w:pPr>
        <w:pStyle w:val="FirstParagraph"/>
      </w:pPr>
      <w:r>
        <w:t xml:space="preserve">This summary is divided into two sections:</w:t>
      </w:r>
      <w:r>
        <w:t xml:space="preserve"> </w:t>
      </w:r>
      <w:r>
        <w:rPr>
          <w:rStyle w:val="VerbatimChar"/>
        </w:rPr>
        <w:t xml:space="preserve">Multilevel Hyperparameters</w:t>
      </w:r>
      <w:r>
        <w:t xml:space="preserve"> </w:t>
      </w:r>
      <w:r>
        <w:t xml:space="preserve">and</w:t>
      </w:r>
      <w:r>
        <w:t xml:space="preserve"> </w:t>
      </w:r>
      <w:r>
        <w:rPr>
          <w:rStyle w:val="VerbatimChar"/>
        </w:rPr>
        <w:t xml:space="preserve">Regression Coefficients</w:t>
      </w:r>
      <w:r>
        <w:t xml:space="preserve">. The former displays between-participant standard deviations for each model parameter, as well as between-participant correlations among parameters. The latter displays the coefficients for each parameter describing the population. In both sections,</w:t>
      </w:r>
      <w:r>
        <w:t xml:space="preserve"> </w:t>
      </w:r>
      <w:r>
        <w:rPr>
          <w:rStyle w:val="VerbatimChar"/>
        </w:rPr>
        <w:t xml:space="preserve">Estimate</w:t>
      </w:r>
      <w:r>
        <w:t xml:space="preserve"> </w:t>
      </w:r>
      <w:r>
        <w:t xml:space="preserve">is the posterior mean,</w:t>
      </w:r>
      <w:r>
        <w:t xml:space="preserve"> </w:t>
      </w:r>
      <w:r>
        <w:rPr>
          <w:rStyle w:val="VerbatimChar"/>
        </w:rPr>
        <w:t xml:space="preserve">Est.Error</w:t>
      </w:r>
      <w:r>
        <w:t xml:space="preserve"> </w:t>
      </w:r>
      <w:r>
        <w:t xml:space="preserve">is the posterior standard deviation,</w:t>
      </w:r>
      <w:r>
        <w:t xml:space="preserve"> </w:t>
      </w:r>
      <w:r>
        <w:rPr>
          <w:rStyle w:val="VerbatimChar"/>
        </w:rPr>
        <w:t xml:space="preserve">l-95% CI</w:t>
      </w:r>
      <w:r>
        <w:t xml:space="preserve"> </w:t>
      </w:r>
      <w:r>
        <w:t xml:space="preserve">and</w:t>
      </w:r>
      <w:r>
        <w:t xml:space="preserve"> </w:t>
      </w:r>
      <w:r>
        <w:rPr>
          <w:rStyle w:val="VerbatimChar"/>
        </w:rPr>
        <w:t xml:space="preserve">u-95% CI</w:t>
      </w:r>
      <w:r>
        <w:t xml:space="preserve"> </w:t>
      </w:r>
      <w:r>
        <w:t xml:space="preserve">are the 95% posterior quantiles (i.e., credible intervals), and</w:t>
      </w:r>
      <w:r>
        <w:t xml:space="preserve"> </w:t>
      </w:r>
      <w:r>
        <w:rPr>
          <w:rStyle w:val="VerbatimChar"/>
        </w:rPr>
        <w:t xml:space="preserve">Rhat</w:t>
      </w:r>
      <w:r>
        <w:t xml:space="preserve">,</w:t>
      </w:r>
      <w:r>
        <w:t xml:space="preserve"> </w:t>
      </w:r>
      <w:r>
        <w:rPr>
          <w:rStyle w:val="VerbatimChar"/>
        </w:rPr>
        <w:t xml:space="preserve">Bulk_ESS</w:t>
      </w:r>
      <w:r>
        <w:t xml:space="preserve"> </w:t>
      </w:r>
      <w:r>
        <w:t xml:space="preserve">and</w:t>
      </w:r>
      <w:r>
        <w:t xml:space="preserve"> </w:t>
      </w:r>
      <w:r>
        <w:rPr>
          <w:rStyle w:val="VerbatimChar"/>
        </w:rPr>
        <w:t xml:space="preserve">Tail_ESS</w:t>
      </w:r>
      <w:r>
        <w:t xml:space="preserve"> </w:t>
      </w:r>
      <w:r>
        <w:t xml:space="preserve">are convergence diagnostics. Under</w:t>
      </w:r>
      <w:r>
        <w:t xml:space="preserve"> </w:t>
      </w:r>
      <w:r>
        <w:rPr>
          <w:rStyle w:val="VerbatimChar"/>
        </w:rPr>
        <w:t xml:space="preserve">Multilevel Hyperparameters</w:t>
      </w:r>
      <w:r>
        <w:t xml:space="preserve">, we find that the participant-level standard deviations are quite small for most parameters, though larger for the confidence criteria, indicating significant participant-level variability in metacognitive bias. In particular, the participant-level standard deviation of</w:t>
      </w:r>
      <w:r>
        <w:t xml:space="preserve"> </w:t>
      </w:r>
      <m:oMath>
        <m:sSup>
          <m:e>
            <m:r>
              <m:t>d</m:t>
            </m:r>
          </m:e>
          <m:sup>
            <m:r>
              <m:rPr>
                <m:sty m:val="p"/>
              </m:rPr>
              <m:t>′</m:t>
            </m:r>
          </m:sup>
        </m:sSup>
      </m:oMath>
      <w:r>
        <w:t xml:space="preserve"> </w:t>
      </w:r>
      <w:r>
        <w:t xml:space="preserve">is close to zero, which reflects the fact that the staircase used to control performance across participants in this experiment was quite successful. We also see strong correlations between participant-level estimates of the confidence criteria, which suggests that confidence responding is highly similar regardless of whether participants respond</w:t>
      </w:r>
      <w:r>
        <w:t xml:space="preserve"> </w:t>
      </w:r>
      <w:r>
        <w:t xml:space="preserve">“left”</w:t>
      </w:r>
      <w:r>
        <w:t xml:space="preserve"> </w:t>
      </w:r>
      <w:r>
        <w:t xml:space="preserve">or</w:t>
      </w:r>
      <w:r>
        <w:t xml:space="preserve"> </w:t>
      </w:r>
      <w:r>
        <w:t xml:space="preserve">“right”</w:t>
      </w:r>
      <w:r>
        <w:t xml:space="preserve">.</w:t>
      </w:r>
    </w:p>
    <w:p>
      <w:pPr>
        <w:pStyle w:val="BodyText"/>
      </w:pPr>
      <w:r>
        <w:t xml:space="preserve">Looking at the model intercepts, we see generally suboptimal metacognitive efficiency (with</w:t>
      </w:r>
      <w:r>
        <w:t xml:space="preserve"> </w:t>
      </w:r>
      <m:oMath>
        <m:r>
          <m:rPr>
            <m:sty m:val="p"/>
          </m:rPr>
          <m:t>log</m:t>
        </m:r>
        <m:r>
          <m:rPr>
            <m:sty m:val="p"/>
          </m:rPr>
          <m:t>(</m:t>
        </m:r>
        <m:r>
          <m:t>M</m:t>
        </m:r>
        <m:r>
          <m:rPr>
            <m:sty m:val="p"/>
          </m:rPr>
          <m:t>)</m:t>
        </m:r>
        <m:r>
          <m:rPr>
            <m:sty m:val="p"/>
          </m:rPr>
          <m:t>&lt;</m:t>
        </m:r>
        <m:r>
          <m:t>0</m:t>
        </m:r>
      </m:oMath>
      <w:r>
        <w:t xml:space="preserve">), good task performance overall (with</w:t>
      </w:r>
      <w:r>
        <w:t xml:space="preserve"> </w:t>
      </w:r>
      <m:oMath>
        <m:sSup>
          <m:e>
            <m:r>
              <m:t>d</m:t>
            </m:r>
          </m:e>
          <m:sup>
            <m:r>
              <m:rPr>
                <m:sty m:val="p"/>
              </m:rPr>
              <m:t>′</m:t>
            </m:r>
          </m:sup>
        </m:sSup>
        <m:r>
          <m:rPr>
            <m:sty m:val="p"/>
          </m:rPr>
          <m:t>≈</m:t>
        </m:r>
        <m:r>
          <m:t>1.3</m:t>
        </m:r>
      </m:oMath>
      <w:r>
        <w:t xml:space="preserve">), and a slight bias for the left response option (with</w:t>
      </w:r>
      <w:r>
        <w:t xml:space="preserve"> </w:t>
      </w:r>
      <m:oMath>
        <m:r>
          <m:t>c</m:t>
        </m:r>
        <m:r>
          <m:rPr>
            <m:sty m:val="p"/>
          </m:rPr>
          <m:t>&lt;</m:t>
        </m:r>
        <m:r>
          <m:t>0</m:t>
        </m:r>
      </m:oMath>
      <w:r>
        <w:t xml:space="preserve">). A preliminary inspection of the regression coefficients suggests that there are no effects of anxious-depression on</w:t>
      </w:r>
      <w:r>
        <w:t xml:space="preserve"> </w:t>
      </w:r>
      <m:oMath>
        <m:r>
          <m:t>M</m:t>
        </m:r>
      </m:oMath>
      <w:r>
        <w:t xml:space="preserve">-ratio,</w:t>
      </w:r>
      <w:r>
        <w:t xml:space="preserve"> </w:t>
      </w:r>
      <m:oMath>
        <m:sSup>
          <m:e>
            <m:r>
              <m:t>d</m:t>
            </m:r>
          </m:e>
          <m:sup>
            <m:r>
              <m:rPr>
                <m:sty m:val="p"/>
              </m:rPr>
              <m:t>′</m:t>
            </m:r>
          </m:sup>
        </m:sSup>
      </m:oMath>
      <w:r>
        <w:t xml:space="preserve">, or</w:t>
      </w:r>
      <w:r>
        <w:t xml:space="preserve"> </w:t>
      </w:r>
      <m:oMath>
        <m:r>
          <m:t>c</m:t>
        </m:r>
      </m:oMath>
      <w:r>
        <w:t xml:space="preserve">. In contrast, the distances between confidence criteria appear to increase with anxious-depression, at least for the first confidence level.</w:t>
      </w:r>
    </w:p>
    <w:p>
      <w:pPr>
        <w:pStyle w:val="BodyText"/>
      </w:pPr>
      <w:r>
        <w:t xml:space="preserve">We can first visualize the group-level estimate of</w:t>
      </w:r>
      <w:r>
        <w:t xml:space="preserve"> </w:t>
      </w:r>
      <m:oMath>
        <m:r>
          <m:t>M</m:t>
        </m:r>
      </m:oMath>
      <w:r>
        <w:t xml:space="preserve">-ratio compared to its prior distribution:</w:t>
      </w:r>
    </w:p>
    <w:p>
      <w:pPr>
        <w:pStyle w:val="SourceCode"/>
      </w:pPr>
      <w:r>
        <w:rPr>
          <w:rStyle w:val="NormalTok"/>
        </w:rPr>
        <w:t xml:space="preserve">draws.mratio </w:t>
      </w:r>
      <w:r>
        <w:rPr>
          <w:rStyle w:val="OtherTok"/>
        </w:rPr>
        <w:t xml:space="preserve">&lt;-</w:t>
      </w:r>
      <w:r>
        <w:rPr>
          <w:rStyle w:val="NormalTok"/>
        </w:rPr>
        <w:t xml:space="preserve"> </w:t>
      </w:r>
      <w:r>
        <w:rPr>
          <w:rStyle w:val="FunctionTok"/>
        </w:rPr>
        <w:t xml:space="preserve">bind_rows</w:t>
      </w:r>
      <w:r>
        <w:rPr>
          <w:rStyle w:val="NormalTok"/>
        </w:rPr>
        <w:t xml:space="preserve">(</w:t>
      </w:r>
      <w:r>
        <w:br/>
      </w:r>
      <w:r>
        <w:rPr>
          <w:rStyle w:val="NormalTok"/>
        </w:rPr>
        <w:t xml:space="preserve">  </w:t>
      </w:r>
      <w:r>
        <w:rPr>
          <w:rStyle w:val="FunctionTok"/>
        </w:rPr>
        <w:t xml:space="preserve">linpred_rvars_metad</w:t>
      </w:r>
      <w:r>
        <w:rPr>
          <w:rStyle w:val="NormalTok"/>
        </w:rPr>
        <w:t xml:space="preserve">(m, newdata, </w:t>
      </w:r>
      <w:r>
        <w:rPr>
          <w:rStyle w:val="AttributeTok"/>
        </w:rPr>
        <w:t xml:space="preserve">re_formula =</w:t>
      </w:r>
      <w:r>
        <w:rPr>
          <w:rStyle w:val="NormalTok"/>
        </w:rPr>
        <w:t xml:space="preserve"> </w:t>
      </w:r>
      <w:r>
        <w:rPr>
          <w:rStyle w:val="ConstantTok"/>
        </w:rPr>
        <w:t xml:space="preserve">NA</w:t>
      </w:r>
      <w:r>
        <w:rPr>
          <w:rStyle w:val="NormalTok"/>
        </w:rPr>
        <w:t xml:space="preserve">)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model =</w:t>
      </w:r>
      <w:r>
        <w:rPr>
          <w:rStyle w:val="NormalTok"/>
        </w:rPr>
        <w:t xml:space="preserve"> </w:t>
      </w:r>
      <w:r>
        <w:rPr>
          <w:rStyle w:val="StringTok"/>
        </w:rPr>
        <w:t xml:space="preserve">"posterior"</w:t>
      </w:r>
      <w:r>
        <w:rPr>
          <w:rStyle w:val="NormalTok"/>
        </w:rPr>
        <w:t xml:space="preserve">),</w:t>
      </w:r>
      <w:r>
        <w:br/>
      </w:r>
      <w:r>
        <w:rPr>
          <w:rStyle w:val="NormalTok"/>
        </w:rPr>
        <w:t xml:space="preserve">  </w:t>
      </w:r>
      <w:r>
        <w:rPr>
          <w:rStyle w:val="FunctionTok"/>
        </w:rPr>
        <w:t xml:space="preserve">linpred_rvars_metad</w:t>
      </w:r>
      <w:r>
        <w:rPr>
          <w:rStyle w:val="NormalTok"/>
        </w:rPr>
        <w:t xml:space="preserve">(m.prior, newdata, </w:t>
      </w:r>
      <w:r>
        <w:rPr>
          <w:rStyle w:val="AttributeTok"/>
        </w:rPr>
        <w:t xml:space="preserve">re_formula =</w:t>
      </w:r>
      <w:r>
        <w:rPr>
          <w:rStyle w:val="NormalTok"/>
        </w:rPr>
        <w:t xml:space="preserve"> </w:t>
      </w:r>
      <w:r>
        <w:rPr>
          <w:rStyle w:val="ConstantTok"/>
        </w:rPr>
        <w:t xml:space="preserve">NA</w:t>
      </w:r>
      <w:r>
        <w:rPr>
          <w:rStyle w:val="NormalTok"/>
        </w:rPr>
        <w:t xml:space="preserve">)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model =</w:t>
      </w:r>
      <w:r>
        <w:rPr>
          <w:rStyle w:val="NormalTok"/>
        </w:rPr>
        <w:t xml:space="preserve"> </w:t>
      </w:r>
      <w:r>
        <w:rPr>
          <w:rStyle w:val="StringTok"/>
        </w:rPr>
        <w:t xml:space="preserve">"prior"</w:t>
      </w:r>
      <w:r>
        <w:rPr>
          <w:rStyle w:val="NormalTok"/>
        </w:rPr>
        <w:t xml:space="preserve">)</w:t>
      </w:r>
      <w:r>
        <w:br/>
      </w:r>
      <w:r>
        <w:rPr>
          <w:rStyle w:val="NormalTok"/>
        </w:rPr>
        <w:t xml:space="preserve">)</w:t>
      </w:r>
    </w:p>
    <w:bookmarkStart w:id="95" w:name="fig-mratio"/>
    <w:p>
      <w:pPr>
        <w:pStyle w:val="FigureTitle"/>
      </w:pPr>
      <w:r>
        <w:t xml:space="preserve">Figure 7</w:t>
      </w:r>
    </w:p>
    <w:p>
      <w:pPr>
        <w:pStyle w:val="Caption"/>
      </w:pPr>
      <w:r>
        <w:t xml:space="preserve">Group-level prior (gray) and posterior (orange) distributions of</w:t>
      </w:r>
      <w:r>
        <w:t xml:space="preserve"> </w:t>
      </w:r>
      <m:oMath>
        <m:r>
          <m:t>M</m:t>
        </m:r>
      </m:oMath>
      <w:r>
        <w:t xml:space="preserve">-ratio when anxious-depression is at its mean.</w:t>
      </w:r>
    </w:p>
    <w:p>
      <w:pPr>
        <w:pStyle w:val="FigureWithoutNote"/>
      </w:pPr>
      <w:r>
        <w:drawing>
          <wp:inline>
            <wp:extent cx="5544151" cy="2772075"/>
            <wp:effectExtent b="0" l="0" r="0" t="0"/>
            <wp:docPr descr="" title="" id="93" name="Picture"/>
            <a:graphic>
              <a:graphicData uri="http://schemas.openxmlformats.org/drawingml/2006/picture">
                <pic:pic>
                  <pic:nvPicPr>
                    <pic:cNvPr descr="index_files/figure-docx/fig-mratio-1.png" id="94" name="Picture"/>
                    <pic:cNvPicPr>
                      <a:picLocks noChangeArrowheads="1" noChangeAspect="1"/>
                    </pic:cNvPicPr>
                  </pic:nvPicPr>
                  <pic:blipFill>
                    <a:blip r:embed="rId92"/>
                    <a:stretch>
                      <a:fillRect/>
                    </a:stretch>
                  </pic:blipFill>
                  <pic:spPr bwMode="auto">
                    <a:xfrm>
                      <a:off x="0" y="0"/>
                      <a:ext cx="5544151" cy="2772075"/>
                    </a:xfrm>
                    <a:prstGeom prst="rect">
                      <a:avLst/>
                    </a:prstGeom>
                    <a:noFill/>
                    <a:ln w="9525">
                      <a:noFill/>
                      <a:headEnd/>
                      <a:tailEnd/>
                    </a:ln>
                  </pic:spPr>
                </pic:pic>
              </a:graphicData>
            </a:graphic>
          </wp:inline>
        </w:drawing>
      </w:r>
    </w:p>
    <w:bookmarkEnd w:id="95"/>
    <w:p>
      <w:pPr>
        <w:pStyle w:val="AfterWithoutNote"/>
      </w:pPr>
      <w:r>
        <w:t xml:space="preserve">As seen in</w:t>
      </w:r>
      <w:r>
        <w:t xml:space="preserve"> </w:t>
      </w:r>
      <w:hyperlink w:anchor="fig-mratio">
        <w:r>
          <w:rPr>
            <w:rStyle w:val="Hyperlink"/>
          </w:rPr>
          <w:t xml:space="preserve">Figure 7</w:t>
        </w:r>
      </w:hyperlink>
      <w:r>
        <w:t xml:space="preserve">, the posterior distribution of</w:t>
      </w:r>
      <w:r>
        <w:t xml:space="preserve"> </w:t>
      </w:r>
      <m:oMath>
        <m:r>
          <m:t>M</m:t>
        </m:r>
      </m:oMath>
      <w:r>
        <w:t xml:space="preserve">-ratio is much narrower than our prior, meaning that our data are very informative for estimating this parameter. This visualization also confirms the model summary above indicating that</w:t>
      </w:r>
      <w:r>
        <w:t xml:space="preserve"> </w:t>
      </w:r>
      <m:oMath>
        <m:r>
          <m:t>M</m:t>
        </m:r>
      </m:oMath>
      <w:r>
        <w:t xml:space="preserve">-ratio is significantly below its optimal value.</w:t>
      </w:r>
    </w:p>
    <w:p>
      <w:pPr>
        <w:pStyle w:val="BodyText"/>
      </w:pPr>
      <w:r>
        <w:t xml:space="preserve">Next, in order to interpret the regression coefficients further, we will compute model predictions at varying levels of anxious-depression:</w:t>
      </w:r>
    </w:p>
    <w:p>
      <w:pPr>
        <w:pStyle w:val="SourceCode"/>
      </w:pPr>
      <w:r>
        <w:rPr>
          <w:rStyle w:val="NormalTok"/>
        </w:rPr>
        <w:t xml:space="preserve">newdata.ad </w:t>
      </w:r>
      <w:r>
        <w:rPr>
          <w:rStyle w:val="OtherTok"/>
        </w:rPr>
        <w:t xml:space="preserve">&lt;-</w:t>
      </w:r>
      <w:r>
        <w:rPr>
          <w:rStyle w:val="NormalTok"/>
        </w:rPr>
        <w:t xml:space="preserve"> </w:t>
      </w:r>
      <w:r>
        <w:rPr>
          <w:rStyle w:val="FunctionTok"/>
        </w:rPr>
        <w:t xml:space="preserve">tibble</w:t>
      </w:r>
      <w:r>
        <w:rPr>
          <w:rStyle w:val="NormalTok"/>
        </w:rPr>
        <w:t xml:space="preserve">(</w:t>
      </w:r>
      <w:r>
        <w:rPr>
          <w:rStyle w:val="AttributeTok"/>
        </w:rPr>
        <w:t xml:space="preserve">anxious_depression =</w:t>
      </w:r>
      <w:r>
        <w:rPr>
          <w:rStyle w:val="NormalTok"/>
        </w:rPr>
        <w:t xml:space="preserve"> </w:t>
      </w:r>
      <w:r>
        <w:rPr>
          <w:rStyle w:val="FunctionTok"/>
        </w:rPr>
        <w:t xml:space="preserve">seq</w:t>
      </w:r>
      <w:r>
        <w:rPr>
          <w:rStyle w:val="NormalTok"/>
        </w:rPr>
        <w:t xml:space="preserve">(</w:t>
      </w:r>
      <w:r>
        <w:rPr>
          <w:rStyle w:val="SpecialCharTok"/>
        </w:rPr>
        <w:t xml:space="preserve">-</w:t>
      </w:r>
      <w:r>
        <w:rPr>
          <w:rStyle w:val="DecValTok"/>
        </w:rPr>
        <w:t xml:space="preserve">2</w:t>
      </w:r>
      <w:r>
        <w:rPr>
          <w:rStyle w:val="NormalTok"/>
        </w:rPr>
        <w:t xml:space="preserve">, </w:t>
      </w:r>
      <w:r>
        <w:rPr>
          <w:rStyle w:val="DecValTok"/>
        </w:rPr>
        <w:t xml:space="preserve">3</w:t>
      </w:r>
      <w:r>
        <w:rPr>
          <w:rStyle w:val="NormalTok"/>
        </w:rPr>
        <w:t xml:space="preserve">, </w:t>
      </w:r>
      <w:r>
        <w:rPr>
          <w:rStyle w:val="AttributeTok"/>
        </w:rPr>
        <w:t xml:space="preserve">by =</w:t>
      </w:r>
      <w:r>
        <w:rPr>
          <w:rStyle w:val="NormalTok"/>
        </w:rPr>
        <w:t xml:space="preserve"> .</w:t>
      </w:r>
      <w:r>
        <w:rPr>
          <w:rStyle w:val="DecValTok"/>
        </w:rPr>
        <w:t xml:space="preserve">25</w:t>
      </w:r>
      <w:r>
        <w:rPr>
          <w:rStyle w:val="NormalTok"/>
        </w:rPr>
        <w:t xml:space="preserve">))</w:t>
      </w:r>
      <w:r>
        <w:br/>
      </w:r>
      <w:r>
        <w:rPr>
          <w:rStyle w:val="NormalTok"/>
        </w:rPr>
        <w:t xml:space="preserve">draws.linpred </w:t>
      </w:r>
      <w:r>
        <w:rPr>
          <w:rStyle w:val="OtherTok"/>
        </w:rPr>
        <w:t xml:space="preserve">&lt;-</w:t>
      </w:r>
      <w:r>
        <w:rPr>
          <w:rStyle w:val="NormalTok"/>
        </w:rPr>
        <w:t xml:space="preserve"> </w:t>
      </w:r>
      <w:r>
        <w:rPr>
          <w:rStyle w:val="FunctionTok"/>
        </w:rPr>
        <w:t xml:space="preserve">linpred_rvars_metad</w:t>
      </w:r>
      <w:r>
        <w:rPr>
          <w:rStyle w:val="NormalTok"/>
        </w:rPr>
        <w:t xml:space="preserve">(m, newdata.ad, </w:t>
      </w:r>
      <w:r>
        <w:rPr>
          <w:rStyle w:val="AttributeTok"/>
        </w:rPr>
        <w:t xml:space="preserve">re_formula =</w:t>
      </w:r>
      <w:r>
        <w:rPr>
          <w:rStyle w:val="NormalTok"/>
        </w:rPr>
        <w:t xml:space="preserve"> </w:t>
      </w:r>
      <w:r>
        <w:rPr>
          <w:rStyle w:val="ConstantTok"/>
        </w:rPr>
        <w:t xml:space="preserve">NA</w:t>
      </w:r>
      <w:r>
        <w:rPr>
          <w:rStyle w:val="NormalTok"/>
        </w:rPr>
        <w:t xml:space="preserve">, </w:t>
      </w:r>
      <w:r>
        <w:rPr>
          <w:rStyle w:val="AttributeTok"/>
        </w:rPr>
        <w:t xml:space="preserve">pivot_longer =</w:t>
      </w:r>
      <w:r>
        <w:rPr>
          <w:rStyle w:val="NormalTok"/>
        </w:rPr>
        <w:t xml:space="preserve"> </w:t>
      </w:r>
      <w:r>
        <w:rPr>
          <w:rStyle w:val="ConstantTok"/>
        </w:rPr>
        <w:t xml:space="preserve">TRUE</w:t>
      </w:r>
      <w:r>
        <w:rPr>
          <w:rStyle w:val="NormalTok"/>
        </w:rPr>
        <w:t xml:space="preserve">)</w:t>
      </w:r>
      <w:r>
        <w:br/>
      </w:r>
      <w:r>
        <w:rPr>
          <w:rStyle w:val="NormalTok"/>
        </w:rPr>
        <w:t xml:space="preserve">draws.linpred</w:t>
      </w:r>
    </w:p>
    <w:p>
      <w:pPr>
        <w:pStyle w:val="SourceCode"/>
      </w:pPr>
      <w:r>
        <w:rPr>
          <w:rStyle w:val="VerbatimChar"/>
        </w:rPr>
        <w:t xml:space="preserve"># A tibble: 189 × 4</w:t>
      </w:r>
      <w:r>
        <w:br/>
      </w:r>
      <w:r>
        <w:rPr>
          <w:rStyle w:val="VerbatimChar"/>
        </w:rPr>
        <w:t xml:space="preserve"># Groups:   .row, anxious_depression, .variable [189]</w:t>
      </w:r>
      <w:r>
        <w:br/>
      </w:r>
      <w:r>
        <w:rPr>
          <w:rStyle w:val="VerbatimChar"/>
        </w:rPr>
        <w:t xml:space="preserve">   anxious_depression  .row .variable            .value</w:t>
      </w:r>
      <w:r>
        <w:br/>
      </w:r>
      <w:r>
        <w:rPr>
          <w:rStyle w:val="VerbatimChar"/>
        </w:rPr>
        <w:t xml:space="preserve">                &lt;dbl&gt; &lt;int&gt; &lt;chr&gt;            &lt;rvar[1d]&gt;</w:t>
      </w:r>
      <w:r>
        <w:br/>
      </w:r>
      <w:r>
        <w:rPr>
          <w:rStyle w:val="VerbatimChar"/>
        </w:rPr>
        <w:t xml:space="preserve"> 1              -2        1 M             0.796 ± 0.040</w:t>
      </w:r>
      <w:r>
        <w:br/>
      </w:r>
      <w:r>
        <w:rPr>
          <w:rStyle w:val="VerbatimChar"/>
        </w:rPr>
        <w:t xml:space="preserve"> 2              -2        1 dprime        1.291 ± 0.020</w:t>
      </w:r>
      <w:r>
        <w:br/>
      </w:r>
      <w:r>
        <w:rPr>
          <w:rStyle w:val="VerbatimChar"/>
        </w:rPr>
        <w:t xml:space="preserve"> 3              -2        1 c            -0.056 ± 0.036</w:t>
      </w:r>
      <w:r>
        <w:br/>
      </w:r>
      <w:r>
        <w:rPr>
          <w:rStyle w:val="VerbatimChar"/>
        </w:rPr>
        <w:t xml:space="preserve"> 4              -2        1 meta_dprime   1.028 ± 0.049</w:t>
      </w:r>
      <w:r>
        <w:br/>
      </w:r>
      <w:r>
        <w:rPr>
          <w:rStyle w:val="VerbatimChar"/>
        </w:rPr>
        <w:t xml:space="preserve"> 5              -2        1 meta_c       -0.056 ± 0.036</w:t>
      </w:r>
      <w:r>
        <w:br/>
      </w:r>
      <w:r>
        <w:rPr>
          <w:rStyle w:val="VerbatimChar"/>
        </w:rPr>
        <w:t xml:space="preserve"> 6              -2        1 meta_c2_0_1  -0.395 ± 0.045</w:t>
      </w:r>
      <w:r>
        <w:br/>
      </w:r>
      <w:r>
        <w:rPr>
          <w:rStyle w:val="VerbatimChar"/>
        </w:rPr>
        <w:t xml:space="preserve"> 7              -2        1 meta_c2_0_2  -0.949 ± 0.065</w:t>
      </w:r>
      <w:r>
        <w:br/>
      </w:r>
      <w:r>
        <w:rPr>
          <w:rStyle w:val="VerbatimChar"/>
        </w:rPr>
        <w:t xml:space="preserve"> 8              -2        1 meta_c2_1_1   0.351 ± 0.047</w:t>
      </w:r>
      <w:r>
        <w:br/>
      </w:r>
      <w:r>
        <w:rPr>
          <w:rStyle w:val="VerbatimChar"/>
        </w:rPr>
        <w:t xml:space="preserve"> 9              -2        1 meta_c2_1_2   0.896 ± 0.067</w:t>
      </w:r>
      <w:r>
        <w:br/>
      </w:r>
      <w:r>
        <w:rPr>
          <w:rStyle w:val="VerbatimChar"/>
        </w:rPr>
        <w:t xml:space="preserve">10              -1.75     2 M             0.799 ± 0.036</w:t>
      </w:r>
      <w:r>
        <w:br/>
      </w:r>
      <w:r>
        <w:rPr>
          <w:rStyle w:val="VerbatimChar"/>
        </w:rPr>
        <w:t xml:space="preserve"># ℹ 179 more rows</w:t>
      </w:r>
    </w:p>
    <w:bookmarkStart w:id="99" w:name="fig-linpred-mh"/>
    <w:p>
      <w:pPr>
        <w:pStyle w:val="FigureTitle"/>
      </w:pPr>
      <w:r>
        <w:t xml:space="preserve">Figure 8</w:t>
      </w:r>
    </w:p>
    <w:p>
      <w:pPr>
        <w:pStyle w:val="Caption"/>
      </w:pPr>
      <w:r>
        <w:t xml:space="preserve">Model estimates of Type I and Type II parameters as a function of anxious-depression.</w:t>
      </w:r>
    </w:p>
    <w:p>
      <w:pPr>
        <w:pStyle w:val="FigureWithNote"/>
      </w:pPr>
      <w:r>
        <w:drawing>
          <wp:inline>
            <wp:extent cx="5943600" cy="2971800"/>
            <wp:effectExtent b="0" l="0" r="0" t="0"/>
            <wp:docPr descr="" title="" id="97" name="Picture"/>
            <a:graphic>
              <a:graphicData uri="http://schemas.openxmlformats.org/drawingml/2006/picture">
                <pic:pic>
                  <pic:nvPicPr>
                    <pic:cNvPr descr="index_files/figure-docx/fig-linpred-mh-1.png" id="98" name="Picture"/>
                    <pic:cNvPicPr>
                      <a:picLocks noChangeArrowheads="1" noChangeAspect="1"/>
                    </pic:cNvPicPr>
                  </pic:nvPicPr>
                  <pic:blipFill>
                    <a:blip r:embed="rId96"/>
                    <a:stretch>
                      <a:fillRect/>
                    </a:stretch>
                  </pic:blipFill>
                  <pic:spPr bwMode="auto">
                    <a:xfrm>
                      <a:off x="0" y="0"/>
                      <a:ext cx="5943600" cy="2971800"/>
                    </a:xfrm>
                    <a:prstGeom prst="rect">
                      <a:avLst/>
                    </a:prstGeom>
                    <a:noFill/>
                    <a:ln w="9525">
                      <a:noFill/>
                      <a:headEnd/>
                      <a:tailEnd/>
                    </a:ln>
                  </pic:spPr>
                </pic:pic>
              </a:graphicData>
            </a:graphic>
          </wp:inline>
        </w:drawing>
      </w:r>
    </w:p>
    <w:bookmarkEnd w:id="99"/>
    <w:p>
      <w:pPr>
        <w:pStyle w:val="FigureNote"/>
      </w:pPr>
      <w:r>
        <w:rPr>
          <w:i/>
          <w:iCs/>
        </w:rPr>
        <w:t xml:space="preserve">Note</w:t>
      </w:r>
      <w:r>
        <w:t xml:space="preserve">. Lines indicate posterior medians and ribbons indicate 95% posterior quantiles. Points indicate posterior medians of participant-level estimates.</w:t>
      </w:r>
    </w:p>
    <w:p>
      <w:pPr>
        <w:pStyle w:val="BodyText"/>
      </w:pPr>
      <w:r>
        <w:t xml:space="preserve">Shown in</w:t>
      </w:r>
      <w:r>
        <w:t xml:space="preserve"> </w:t>
      </w:r>
      <w:hyperlink w:anchor="fig-linpred-mh">
        <w:r>
          <w:rPr>
            <w:rStyle w:val="Hyperlink"/>
          </w:rPr>
          <w:t xml:space="preserve">Figure 8</w:t>
        </w:r>
      </w:hyperlink>
      <w:r>
        <w:t xml:space="preserve">, it is clear that the relationships between mental health and</w:t>
      </w:r>
      <w:r>
        <w:t xml:space="preserve"> </w:t>
      </w:r>
      <m:oMath>
        <m:r>
          <m:t>M</m:t>
        </m:r>
      </m:oMath>
      <w:r>
        <w:t xml:space="preserve">-ratio,</w:t>
      </w:r>
      <w:r>
        <w:t xml:space="preserve"> </w:t>
      </w:r>
      <m:oMath>
        <m:sSup>
          <m:e>
            <m:r>
              <m:t>d</m:t>
            </m:r>
          </m:e>
          <m:sup>
            <m:r>
              <m:rPr>
                <m:sty m:val="p"/>
              </m:rPr>
              <m:t>′</m:t>
            </m:r>
          </m:sup>
        </m:sSup>
      </m:oMath>
      <w:r>
        <w:t xml:space="preserve">, and</w:t>
      </w:r>
      <w:r>
        <w:t xml:space="preserve"> </w:t>
      </w:r>
      <m:oMath>
        <m:r>
          <m:t>c</m:t>
        </m:r>
      </m:oMath>
      <w:r>
        <w:t xml:space="preserve"> </w:t>
      </w:r>
      <w:r>
        <w:t xml:space="preserve">are small if non-existent. In contrast, there appear to be effects on the confidence criteria, however this is complicated because (a) there are two confidence criteria for each Type I response, (b) the confidence criteria for each response are ordered in opposite directions, and (c) effects on the the confidence criteria include potential effects on the Type I criterion,</w:t>
      </w:r>
      <w:r>
        <w:t xml:space="preserve"> </w:t>
      </w:r>
      <m:oMath>
        <m:r>
          <m:t>c</m:t>
        </m:r>
      </m:oMath>
      <w:r>
        <w:t xml:space="preserve">. To simplify things further, we can compute a corrected measure of metacognitive bias derived from the confidence criteria known as</w:t>
      </w:r>
      <w:r>
        <w:t xml:space="preserve"> </w:t>
      </w:r>
      <m:oMath>
        <m:r>
          <m:rPr>
            <m:nor/>
            <m:sty m:val="p"/>
          </m:rPr>
          <m:t>meta-</m:t>
        </m:r>
        <m:r>
          <m:rPr>
            <m:sty m:val="p"/>
          </m:rPr>
          <m:t>Δ</m:t>
        </m:r>
      </m:oMath>
      <w:r>
        <w:t xml:space="preserve"> </w:t>
      </w:r>
      <w:r>
        <w:t xml:space="preserve">(</w:t>
      </w:r>
      <w:hyperlink w:anchor="ref-oneill2026">
        <w:r>
          <w:rPr>
            <w:rStyle w:val="Hyperlink"/>
          </w:rPr>
          <w:t xml:space="preserve">O’Neill et al., 2026</w:t>
        </w:r>
      </w:hyperlink>
      <w:r>
        <w:t xml:space="preserve">)</w:t>
      </w:r>
      <w:r>
        <w:t xml:space="preserve">:</w:t>
      </w:r>
    </w:p>
    <w:p>
      <w:pPr>
        <w:pStyle w:val="SourceCode"/>
      </w:pPr>
      <w:r>
        <w:rPr>
          <w:rStyle w:val="NormalTok"/>
        </w:rPr>
        <w:t xml:space="preserve">draws.bias </w:t>
      </w:r>
      <w:r>
        <w:rPr>
          <w:rStyle w:val="OtherTok"/>
        </w:rPr>
        <w:t xml:space="preserve">&lt;-</w:t>
      </w:r>
      <w:r>
        <w:rPr>
          <w:rStyle w:val="NormalTok"/>
        </w:rPr>
        <w:t xml:space="preserve"> </w:t>
      </w:r>
      <w:r>
        <w:rPr>
          <w:rStyle w:val="FunctionTok"/>
        </w:rPr>
        <w:t xml:space="preserve">metacognitive_bias_rvars</w:t>
      </w:r>
      <w:r>
        <w:rPr>
          <w:rStyle w:val="NormalTok"/>
        </w:rPr>
        <w:t xml:space="preserve">(</w:t>
      </w:r>
      <w:r>
        <w:br/>
      </w:r>
      <w:r>
        <w:rPr>
          <w:rStyle w:val="NormalTok"/>
        </w:rPr>
        <w:t xml:space="preserve">  m, newdata.ad,</w:t>
      </w:r>
      <w:r>
        <w:br/>
      </w:r>
      <w:r>
        <w:rPr>
          <w:rStyle w:val="NormalTok"/>
        </w:rPr>
        <w:t xml:space="preserve">  </w:t>
      </w:r>
      <w:r>
        <w:rPr>
          <w:rStyle w:val="AttributeTok"/>
        </w:rPr>
        <w:t xml:space="preserve">re_formula =</w:t>
      </w:r>
      <w:r>
        <w:rPr>
          <w:rStyle w:val="NormalTok"/>
        </w:rPr>
        <w:t xml:space="preserve"> </w:t>
      </w:r>
      <w:r>
        <w:rPr>
          <w:rStyle w:val="ConstantTok"/>
        </w:rPr>
        <w:t xml:space="preserve">NA</w:t>
      </w:r>
      <w:r>
        <w:rPr>
          <w:rStyle w:val="NormalTok"/>
        </w:rPr>
        <w:t xml:space="preserve">, </w:t>
      </w:r>
      <w:r>
        <w:rPr>
          <w:rStyle w:val="AttributeTok"/>
        </w:rPr>
        <w:t xml:space="preserve">by_response =</w:t>
      </w:r>
      <w:r>
        <w:rPr>
          <w:rStyle w:val="NormalTok"/>
        </w:rPr>
        <w:t xml:space="preserve"> </w:t>
      </w:r>
      <w:r>
        <w:rPr>
          <w:rStyle w:val="ConstantTok"/>
        </w:rPr>
        <w:t xml:space="preserve">FALSE</w:t>
      </w:r>
      <w:r>
        <w:br/>
      </w:r>
      <w:r>
        <w:rPr>
          <w:rStyle w:val="NormalTok"/>
        </w:rPr>
        <w:t xml:space="preserve">)</w:t>
      </w:r>
      <w:r>
        <w:br/>
      </w:r>
      <w:r>
        <w:rPr>
          <w:rStyle w:val="NormalTok"/>
        </w:rPr>
        <w:t xml:space="preserve">draws.bias</w:t>
      </w:r>
    </w:p>
    <w:p>
      <w:pPr>
        <w:pStyle w:val="SourceCode"/>
      </w:pPr>
      <w:r>
        <w:rPr>
          <w:rStyle w:val="VerbatimChar"/>
        </w:rPr>
        <w:t xml:space="preserve"># A tibble: 21 × 3</w:t>
      </w:r>
      <w:r>
        <w:br/>
      </w:r>
      <w:r>
        <w:rPr>
          <w:rStyle w:val="VerbatimChar"/>
        </w:rPr>
        <w:t xml:space="preserve"># Groups:   .row, anxious_depression [21]</w:t>
      </w:r>
      <w:r>
        <w:br/>
      </w:r>
      <w:r>
        <w:rPr>
          <w:rStyle w:val="VerbatimChar"/>
        </w:rPr>
        <w:t xml:space="preserve">    .row anxious_depression metacognitive_bias</w:t>
      </w:r>
      <w:r>
        <w:br/>
      </w:r>
      <w:r>
        <w:rPr>
          <w:rStyle w:val="VerbatimChar"/>
        </w:rPr>
        <w:t xml:space="preserve">   &lt;int&gt;              &lt;dbl&gt;         &lt;rvar[1d]&gt;</w:t>
      </w:r>
      <w:r>
        <w:br/>
      </w:r>
      <w:r>
        <w:rPr>
          <w:rStyle w:val="VerbatimChar"/>
        </w:rPr>
        <w:t xml:space="preserve"> 1     1              -2          0.65 ± 0.040</w:t>
      </w:r>
      <w:r>
        <w:br/>
      </w:r>
      <w:r>
        <w:rPr>
          <w:rStyle w:val="VerbatimChar"/>
        </w:rPr>
        <w:t xml:space="preserve"> 2     2              -1.75       0.66 ± 0.037</w:t>
      </w:r>
      <w:r>
        <w:br/>
      </w:r>
      <w:r>
        <w:rPr>
          <w:rStyle w:val="VerbatimChar"/>
        </w:rPr>
        <w:t xml:space="preserve"> 3     3              -1.5        0.67 ± 0.034</w:t>
      </w:r>
      <w:r>
        <w:br/>
      </w:r>
      <w:r>
        <w:rPr>
          <w:rStyle w:val="VerbatimChar"/>
        </w:rPr>
        <w:t xml:space="preserve"> 4     4              -1.25       0.68 ± 0.031</w:t>
      </w:r>
      <w:r>
        <w:br/>
      </w:r>
      <w:r>
        <w:rPr>
          <w:rStyle w:val="VerbatimChar"/>
        </w:rPr>
        <w:t xml:space="preserve"> 5     5              -1          0.69 ± 0.028</w:t>
      </w:r>
      <w:r>
        <w:br/>
      </w:r>
      <w:r>
        <w:rPr>
          <w:rStyle w:val="VerbatimChar"/>
        </w:rPr>
        <w:t xml:space="preserve"> 6     6              -0.75       0.70 ± 0.025</w:t>
      </w:r>
      <w:r>
        <w:br/>
      </w:r>
      <w:r>
        <w:rPr>
          <w:rStyle w:val="VerbatimChar"/>
        </w:rPr>
        <w:t xml:space="preserve"> 7     7              -0.5        0.72 ± 0.023</w:t>
      </w:r>
      <w:r>
        <w:br/>
      </w:r>
      <w:r>
        <w:rPr>
          <w:rStyle w:val="VerbatimChar"/>
        </w:rPr>
        <w:t xml:space="preserve"> 8     8              -0.25       0.73 ± 0.022</w:t>
      </w:r>
      <w:r>
        <w:br/>
      </w:r>
      <w:r>
        <w:rPr>
          <w:rStyle w:val="VerbatimChar"/>
        </w:rPr>
        <w:t xml:space="preserve"> 9     9               0          0.74 ± 0.022</w:t>
      </w:r>
      <w:r>
        <w:br/>
      </w:r>
      <w:r>
        <w:rPr>
          <w:rStyle w:val="VerbatimChar"/>
        </w:rPr>
        <w:t xml:space="preserve">10    10               0.25       0.76 ± 0.023</w:t>
      </w:r>
      <w:r>
        <w:br/>
      </w:r>
      <w:r>
        <w:rPr>
          <w:rStyle w:val="VerbatimChar"/>
        </w:rPr>
        <w:t xml:space="preserve"># ℹ 11 more rows</w:t>
      </w:r>
    </w:p>
    <w:bookmarkStart w:id="103" w:name="fig-bias"/>
    <w:p>
      <w:pPr>
        <w:pStyle w:val="FigureTitle"/>
      </w:pPr>
      <w:r>
        <w:t xml:space="preserve">Figure 9</w:t>
      </w:r>
    </w:p>
    <w:p>
      <w:pPr>
        <w:pStyle w:val="Caption"/>
      </w:pPr>
      <w:r>
        <w:t xml:space="preserve">Model estimates of metacognitive bias (</w:t>
      </w:r>
      <m:oMath>
        <m:r>
          <m:rPr>
            <m:nor/>
            <m:sty m:val="p"/>
          </m:rPr>
          <m:t>meta-</m:t>
        </m:r>
        <m:r>
          <m:rPr>
            <m:sty m:val="p"/>
          </m:rPr>
          <m:t>Δ</m:t>
        </m:r>
      </m:oMath>
      <w:r>
        <w:t xml:space="preserve">) as a function of anxious-depression.</w:t>
      </w:r>
      <w:r>
        <w:t xml:space="preserve"> </w:t>
      </w:r>
      <w:r>
        <w:rPr>
          <w:i/>
          <w:iCs/>
        </w:rPr>
        <w:t xml:space="preserve">(A)</w:t>
      </w:r>
      <w:r>
        <w:t xml:space="preserve"> </w:t>
      </w:r>
      <w:r>
        <w:t xml:space="preserve">Posterior estimates of metacognitive bias at varying levels of anxious-depression.</w:t>
      </w:r>
      <w:r>
        <w:t xml:space="preserve"> </w:t>
      </w:r>
      <w:r>
        <w:rPr>
          <w:i/>
          <w:iCs/>
        </w:rPr>
        <w:t xml:space="preserve">(B)</w:t>
      </w:r>
      <w:r>
        <w:t xml:space="preserve"> </w:t>
      </w:r>
      <w:r>
        <w:t xml:space="preserve">Group-level prior (gray) and posterior (orange) distributions of the association between anxious-depression and metacognitive bias.</w:t>
      </w:r>
    </w:p>
    <w:p>
      <w:pPr>
        <w:pStyle w:val="FigureWithNote"/>
      </w:pPr>
      <w:r>
        <w:drawing>
          <wp:inline>
            <wp:extent cx="5943600" cy="2377440"/>
            <wp:effectExtent b="0" l="0" r="0" t="0"/>
            <wp:docPr descr="" title="" id="101" name="Picture"/>
            <a:graphic>
              <a:graphicData uri="http://schemas.openxmlformats.org/drawingml/2006/picture">
                <pic:pic>
                  <pic:nvPicPr>
                    <pic:cNvPr descr="index_files/figure-docx/fig-bias-1.png" id="102" name="Picture"/>
                    <pic:cNvPicPr>
                      <a:picLocks noChangeArrowheads="1" noChangeAspect="1"/>
                    </pic:cNvPicPr>
                  </pic:nvPicPr>
                  <pic:blipFill>
                    <a:blip r:embed="rId100"/>
                    <a:stretch>
                      <a:fillRect/>
                    </a:stretch>
                  </pic:blipFill>
                  <pic:spPr bwMode="auto">
                    <a:xfrm>
                      <a:off x="0" y="0"/>
                      <a:ext cx="5943600" cy="2377440"/>
                    </a:xfrm>
                    <a:prstGeom prst="rect">
                      <a:avLst/>
                    </a:prstGeom>
                    <a:noFill/>
                    <a:ln w="9525">
                      <a:noFill/>
                      <a:headEnd/>
                      <a:tailEnd/>
                    </a:ln>
                  </pic:spPr>
                </pic:pic>
              </a:graphicData>
            </a:graphic>
          </wp:inline>
        </w:drawing>
      </w:r>
    </w:p>
    <w:bookmarkEnd w:id="103"/>
    <w:p>
      <w:pPr>
        <w:pStyle w:val="FigureNote"/>
      </w:pPr>
      <w:r>
        <w:rPr>
          <w:i/>
          <w:iCs/>
        </w:rPr>
        <w:t xml:space="preserve">Note</w:t>
      </w:r>
      <w:r>
        <w:t xml:space="preserve">. Lines indicate posterior medians and ribbons indicate 95% posterior quantiles. Points indicate posterior medians of participant-level estimates.</w:t>
      </w:r>
    </w:p>
    <w:p>
      <w:pPr>
        <w:pStyle w:val="BodyText"/>
      </w:pPr>
      <w:hyperlink w:anchor="fig-bias">
        <w:r>
          <w:rPr>
            <w:rStyle w:val="Hyperlink"/>
          </w:rPr>
          <w:t xml:space="preserve">Figure 9</w:t>
        </w:r>
      </w:hyperlink>
      <w:r>
        <w:t xml:space="preserve"> </w:t>
      </w:r>
      <w:r>
        <w:t xml:space="preserve">makes clear that increases in anxious-depression are associated with small increases in metacognitive bias (i.e., the amount of evidence required to make a response with confidence at the mid-point).</w:t>
      </w:r>
    </w:p>
    <w:bookmarkEnd w:id="104"/>
    <w:bookmarkStart w:id="105" w:name="significance-testing"/>
    <w:p>
      <w:pPr>
        <w:pStyle w:val="Heading2"/>
      </w:pPr>
      <w:r>
        <w:t xml:space="preserve">Significance testing</w:t>
      </w:r>
    </w:p>
    <w:p>
      <w:pPr>
        <w:pStyle w:val="FirstParagraph"/>
      </w:pPr>
      <w:r>
        <w:t xml:space="preserve">The final step to answering our research question is to perform significance tests that quantify the amount of evidence for mental-health-related differences in model parameters. Of course, the credible intervals on our previous estimates give us an idea of the probable size of each of these effects. But while credible intervals themselves provide some information about the existence of an effect, they do not provide information about statistical significance</w:t>
      </w:r>
      <w:r>
        <w:t xml:space="preserve"> </w:t>
      </w:r>
      <w:r>
        <w:t xml:space="preserve">(</w:t>
      </w:r>
      <w:hyperlink w:anchor="ref-makowski2019">
        <w:r>
          <w:rPr>
            <w:rStyle w:val="Hyperlink"/>
          </w:rPr>
          <w:t xml:space="preserve">Makowski, Ben-Shachar, Chen, et al., 2019</w:t>
        </w:r>
      </w:hyperlink>
      <w:r>
        <w:t xml:space="preserve">)</w:t>
      </w:r>
      <w:r>
        <w:t xml:space="preserve">. So, here we will focus on one approach to Bayesian significance testing: Bayes Factors. In general, Bayes Factors represent the degree to which the data have increased the odds of the alternative hypothesis relative to the null hypothesis. As a special case, when using a point null hypothesis (e.g., that anxious-depression has no effect on log</w:t>
      </w:r>
      <w:r>
        <w:t xml:space="preserve"> </w:t>
      </w:r>
      <m:oMath>
        <m:r>
          <m:t>M</m:t>
        </m:r>
      </m:oMath>
      <w:r>
        <w:t xml:space="preserve">-ratio), it is efficient to compute the Bayes Factor using the Savage-Dickey density ratio, that is, by comparing the prior and posterior density of the null value. This process yields</w:t>
      </w:r>
      <w:r>
        <w:t xml:space="preserve"> </w:t>
      </w:r>
      <m:oMath>
        <m:r>
          <m:t>B</m:t>
        </m:r>
        <m:r>
          <m:t>F</m:t>
        </m:r>
        <m:r>
          <m:rPr>
            <m:sty m:val="p"/>
          </m:rPr>
          <m:t>&gt;</m:t>
        </m:r>
        <m:r>
          <m:t>1</m:t>
        </m:r>
      </m:oMath>
      <w:r>
        <w:t xml:space="preserve"> </w:t>
      </w:r>
      <w:r>
        <w:t xml:space="preserve">when the data provide support for the alternative hypothesis,</w:t>
      </w:r>
      <w:r>
        <w:t xml:space="preserve"> </w:t>
      </w:r>
      <m:oMath>
        <m:r>
          <m:t>B</m:t>
        </m:r>
        <m:r>
          <m:t>F</m:t>
        </m:r>
        <m:r>
          <m:rPr>
            <m:sty m:val="p"/>
          </m:rPr>
          <m:t>&lt;</m:t>
        </m:r>
        <m:r>
          <m:t>1</m:t>
        </m:r>
      </m:oMath>
      <w:r>
        <w:t xml:space="preserve"> </w:t>
      </w:r>
      <w:r>
        <w:t xml:space="preserve">when the data provide support for the null hypothesis, and</w:t>
      </w:r>
      <w:r>
        <w:t xml:space="preserve"> </w:t>
      </w:r>
      <m:oMath>
        <m:r>
          <m:t>B</m:t>
        </m:r>
        <m:r>
          <m:t>F</m:t>
        </m:r>
        <m:r>
          <m:rPr>
            <m:sty m:val="p"/>
          </m:rPr>
          <m:t>=</m:t>
        </m:r>
        <m:r>
          <m:t>1</m:t>
        </m:r>
      </m:oMath>
      <w:r>
        <w:t xml:space="preserve"> </w:t>
      </w:r>
      <w:r>
        <w:t xml:space="preserve">when the data do not inform either hypothesis</w:t>
      </w:r>
      <w:r>
        <w:t xml:space="preserve"> </w:t>
      </w:r>
      <w:r>
        <w:t xml:space="preserve">(for more information, see</w:t>
      </w:r>
      <w:r>
        <w:t xml:space="preserve"> </w:t>
      </w:r>
      <w:hyperlink w:anchor="ref-makowski2019">
        <w:r>
          <w:rPr>
            <w:rStyle w:val="Hyperlink"/>
          </w:rPr>
          <w:t xml:space="preserve">Makowski, Ben-Shachar, Chen, et al., 2019</w:t>
        </w:r>
      </w:hyperlink>
      <w:r>
        <w:t xml:space="preserve">)</w:t>
      </w:r>
      <w:r>
        <w:t xml:space="preserve">.</w:t>
      </w:r>
    </w:p>
    <w:p>
      <w:pPr>
        <w:pStyle w:val="BodyText"/>
      </w:pPr>
      <w:r>
        <w:t xml:space="preserve">Bayes Factors can be easily computed using the function</w:t>
      </w:r>
      <w:r>
        <w:t xml:space="preserve"> </w:t>
      </w:r>
      <w:r>
        <w:rPr>
          <w:rStyle w:val="VerbatimChar"/>
        </w:rPr>
        <w:t xml:space="preserve">describe_posterior</w:t>
      </w:r>
      <w:r>
        <w:t xml:space="preserve"> </w:t>
      </w:r>
      <w:r>
        <w:t xml:space="preserve">in the</w:t>
      </w:r>
      <w:r>
        <w:t xml:space="preserve"> </w:t>
      </w:r>
      <w:r>
        <w:rPr>
          <w:rStyle w:val="VerbatimChar"/>
        </w:rPr>
        <w:t xml:space="preserve">bayestestR</w:t>
      </w:r>
      <w:r>
        <w:t xml:space="preserve"> </w:t>
      </w:r>
      <w:r>
        <w:t xml:space="preserve">package</w:t>
      </w:r>
      <w:r>
        <w:t xml:space="preserve"> </w:t>
      </w:r>
      <w:r>
        <w:t xml:space="preserve">(</w:t>
      </w:r>
      <w:hyperlink w:anchor="ref-bayestestR">
        <w:r>
          <w:rPr>
            <w:rStyle w:val="Hyperlink"/>
          </w:rPr>
          <w:t xml:space="preserve">Makowski, Ben-Shachar, &amp; Lüdecke, 2019</w:t>
        </w:r>
      </w:hyperlink>
      <w:r>
        <w:t xml:space="preserve">)</w:t>
      </w:r>
      <w:r>
        <w:t xml:space="preserve">:</w:t>
      </w:r>
    </w:p>
    <w:p>
      <w:pPr>
        <w:pStyle w:val="SourceCode"/>
      </w:pPr>
      <w:r>
        <w:rPr>
          <w:rStyle w:val="FunctionTok"/>
        </w:rPr>
        <w:t xml:space="preserve">describe_posterior</w:t>
      </w:r>
      <w:r>
        <w:rPr>
          <w:rStyle w:val="NormalTok"/>
        </w:rPr>
        <w:t xml:space="preserve">(m, </w:t>
      </w:r>
      <w:r>
        <w:rPr>
          <w:rStyle w:val="AttributeTok"/>
        </w:rPr>
        <w:t xml:space="preserve">test =</w:t>
      </w:r>
      <w:r>
        <w:rPr>
          <w:rStyle w:val="NormalTok"/>
        </w:rPr>
        <w:t xml:space="preserve"> </w:t>
      </w:r>
      <w:r>
        <w:rPr>
          <w:rStyle w:val="StringTok"/>
        </w:rPr>
        <w:t xml:space="preserve">"bf"</w:t>
      </w:r>
      <w:r>
        <w:rPr>
          <w:rStyle w:val="NormalTok"/>
        </w:rPr>
        <w:t xml:space="preserve">, </w:t>
      </w:r>
      <w:r>
        <w:rPr>
          <w:rStyle w:val="AttributeTok"/>
        </w:rPr>
        <w:t xml:space="preserve">bf_prior =</w:t>
      </w:r>
      <w:r>
        <w:rPr>
          <w:rStyle w:val="NormalTok"/>
        </w:rPr>
        <w:t xml:space="preserve"> m.prior, </w:t>
      </w:r>
      <w:r>
        <w:rPr>
          <w:rStyle w:val="AttributeTok"/>
        </w:rPr>
        <w:t xml:space="preserve">component =</w:t>
      </w:r>
      <w:r>
        <w:rPr>
          <w:rStyle w:val="NormalTok"/>
        </w:rPr>
        <w:t xml:space="preserve"> </w:t>
      </w:r>
      <w:r>
        <w:rPr>
          <w:rStyle w:val="StringTok"/>
        </w:rPr>
        <w:t xml:space="preserve">"all"</w:t>
      </w:r>
      <w:r>
        <w:rPr>
          <w:rStyle w:val="NormalTok"/>
        </w:rPr>
        <w:t xml:space="preserve">)</w:t>
      </w:r>
    </w:p>
    <w:p>
      <w:pPr>
        <w:pStyle w:val="SourceCode"/>
      </w:pPr>
      <w:r>
        <w:rPr>
          <w:rStyle w:val="VerbatimChar"/>
        </w:rPr>
        <w:t xml:space="preserve">Summary of Posterior Distribution</w:t>
      </w:r>
      <w:r>
        <w:br/>
      </w:r>
      <w:r>
        <w:br/>
      </w:r>
      <w:r>
        <w:rPr>
          <w:rStyle w:val="VerbatimChar"/>
        </w:rPr>
        <w:t xml:space="preserve">Parameter          | Median |         95% CI |       BF |  Rhat | ESS (tail)</w:t>
      </w:r>
      <w:r>
        <w:br/>
      </w:r>
      <w:r>
        <w:rPr>
          <w:rStyle w:val="VerbatimChar"/>
        </w:rPr>
        <w:t xml:space="preserve">----------------------------------------------------------------------------</w:t>
      </w:r>
      <w:r>
        <w:br/>
      </w:r>
      <w:r>
        <w:rPr>
          <w:rStyle w:val="VerbatimChar"/>
        </w:rPr>
        <w:t xml:space="preserve">(Intercept)        |  -0.20 | [-0.25, -0.16] | 7.55e+08 | 1.000 |      13265</w:t>
      </w:r>
      <w:r>
        <w:br/>
      </w:r>
      <w:r>
        <w:rPr>
          <w:rStyle w:val="VerbatimChar"/>
        </w:rPr>
        <w:t xml:space="preserve">anxious_depression |   0.01 | [-0.03,  0.06] |    0.106 | 1.000 |      13443</w:t>
      </w:r>
      <w:r>
        <w:br/>
      </w:r>
      <w:r>
        <w:br/>
      </w:r>
      <w:r>
        <w:rPr>
          <w:rStyle w:val="VerbatimChar"/>
        </w:rPr>
        <w:t xml:space="preserve"># Fixed effects (dprime)</w:t>
      </w:r>
      <w:r>
        <w:br/>
      </w:r>
      <w:r>
        <w:br/>
      </w:r>
      <w:r>
        <w:rPr>
          <w:rStyle w:val="VerbatimChar"/>
        </w:rPr>
        <w:t xml:space="preserve">Parameter          |   Median |         95% CI |        BF |  Rhat | ESS (tail)</w:t>
      </w:r>
      <w:r>
        <w:br/>
      </w:r>
      <w:r>
        <w:rPr>
          <w:rStyle w:val="VerbatimChar"/>
        </w:rPr>
        <w:t xml:space="preserve">-------------------------------------------------------------------------------</w:t>
      </w:r>
      <w:r>
        <w:br/>
      </w:r>
      <w:r>
        <w:rPr>
          <w:rStyle w:val="VerbatimChar"/>
        </w:rPr>
        <w:t xml:space="preserve">(Intercept)        |     1.31 | [ 1.29,  1.32] | 9.20e+219 | 1.000 |      15029</w:t>
      </w:r>
      <w:r>
        <w:br/>
      </w:r>
      <w:r>
        <w:rPr>
          <w:rStyle w:val="VerbatimChar"/>
        </w:rPr>
        <w:t xml:space="preserve">anxious_depression | 8.01e-03 | [-0.01,  0.03] |     0.053 | 1.000 |      15637</w:t>
      </w:r>
      <w:r>
        <w:br/>
      </w:r>
      <w:r>
        <w:br/>
      </w:r>
      <w:r>
        <w:rPr>
          <w:rStyle w:val="VerbatimChar"/>
        </w:rPr>
        <w:t xml:space="preserve"># Fixed effects (c)</w:t>
      </w:r>
      <w:r>
        <w:br/>
      </w:r>
      <w:r>
        <w:br/>
      </w:r>
      <w:r>
        <w:rPr>
          <w:rStyle w:val="VerbatimChar"/>
        </w:rPr>
        <w:t xml:space="preserve">Parameter          | Median |         95% CI |       BF |  Rhat | ESS (tail)</w:t>
      </w:r>
      <w:r>
        <w:br/>
      </w:r>
      <w:r>
        <w:rPr>
          <w:rStyle w:val="VerbatimChar"/>
        </w:rPr>
        <w:t xml:space="preserve">----------------------------------------------------------------------------</w:t>
      </w:r>
      <w:r>
        <w:br/>
      </w:r>
      <w:r>
        <w:rPr>
          <w:rStyle w:val="VerbatimChar"/>
        </w:rPr>
        <w:t xml:space="preserve">(Intercept)        |  -0.09 | [-0.12, -0.06] | 1.63e+04 | 1.006 |       3298</w:t>
      </w:r>
      <w:r>
        <w:br/>
      </w:r>
      <w:r>
        <w:rPr>
          <w:rStyle w:val="VerbatimChar"/>
        </w:rPr>
        <w:t xml:space="preserve">anxious_depression |  -0.02 | [-0.05,  0.01] |    0.108 | 1.001 |       3736</w:t>
      </w:r>
      <w:r>
        <w:br/>
      </w:r>
      <w:r>
        <w:br/>
      </w:r>
      <w:r>
        <w:rPr>
          <w:rStyle w:val="VerbatimChar"/>
        </w:rPr>
        <w:t xml:space="preserve"># Fixed effects (metac2zero1diff)</w:t>
      </w:r>
      <w:r>
        <w:br/>
      </w:r>
      <w:r>
        <w:br/>
      </w:r>
      <w:r>
        <w:rPr>
          <w:rStyle w:val="VerbatimChar"/>
        </w:rPr>
        <w:t xml:space="preserve">Parameter          | Median |         95% CI |       BF |  Rhat | ESS (tail)</w:t>
      </w:r>
      <w:r>
        <w:br/>
      </w:r>
      <w:r>
        <w:rPr>
          <w:rStyle w:val="VerbatimChar"/>
        </w:rPr>
        <w:t xml:space="preserve">----------------------------------------------------------------------------</w:t>
      </w:r>
      <w:r>
        <w:br/>
      </w:r>
      <w:r>
        <w:rPr>
          <w:rStyle w:val="VerbatimChar"/>
        </w:rPr>
        <w:t xml:space="preserve">(Intercept)        |  -0.80 | [-0.88, -0.73] | 3.15e+20 | 1.004 |       1847</w:t>
      </w:r>
      <w:r>
        <w:br/>
      </w:r>
      <w:r>
        <w:rPr>
          <w:rStyle w:val="VerbatimChar"/>
        </w:rPr>
        <w:t xml:space="preserve">anxious_depression |   0.14 | [ 0.07,  0.21] |   228.36 | 1.006 |       1757</w:t>
      </w:r>
      <w:r>
        <w:br/>
      </w:r>
      <w:r>
        <w:br/>
      </w:r>
      <w:r>
        <w:rPr>
          <w:rStyle w:val="VerbatimChar"/>
        </w:rPr>
        <w:t xml:space="preserve"># Fixed effects (metac2zero2diff)</w:t>
      </w:r>
      <w:r>
        <w:br/>
      </w:r>
      <w:r>
        <w:br/>
      </w:r>
      <w:r>
        <w:rPr>
          <w:rStyle w:val="VerbatimChar"/>
        </w:rPr>
        <w:t xml:space="preserve">Parameter          | Median |         95% CI |       BF |  Rhat | ESS (tail)</w:t>
      </w:r>
      <w:r>
        <w:br/>
      </w:r>
      <w:r>
        <w:rPr>
          <w:rStyle w:val="VerbatimChar"/>
        </w:rPr>
        <w:t xml:space="preserve">----------------------------------------------------------------------------</w:t>
      </w:r>
      <w:r>
        <w:br/>
      </w:r>
      <w:r>
        <w:rPr>
          <w:rStyle w:val="VerbatimChar"/>
        </w:rPr>
        <w:t xml:space="preserve">(Intercept)        |  -0.62 | [-0.68, -0.55] | 1.41e+18 | 1.006 |       2657</w:t>
      </w:r>
      <w:r>
        <w:br/>
      </w:r>
      <w:r>
        <w:rPr>
          <w:rStyle w:val="VerbatimChar"/>
        </w:rPr>
        <w:t xml:space="preserve">anxious_depression |  -0.01 | [-0.07,  0.05] |    0.136 | 1.000 |       2993</w:t>
      </w:r>
      <w:r>
        <w:br/>
      </w:r>
      <w:r>
        <w:br/>
      </w:r>
      <w:r>
        <w:rPr>
          <w:rStyle w:val="VerbatimChar"/>
        </w:rPr>
        <w:t xml:space="preserve"># Fixed effects (metac2one1diff)</w:t>
      </w:r>
      <w:r>
        <w:br/>
      </w:r>
      <w:r>
        <w:br/>
      </w:r>
      <w:r>
        <w:rPr>
          <w:rStyle w:val="VerbatimChar"/>
        </w:rPr>
        <w:t xml:space="preserve">Parameter          | Median |         95% CI |       BF |  Rhat | ESS (tail)</w:t>
      </w:r>
      <w:r>
        <w:br/>
      </w:r>
      <w:r>
        <w:rPr>
          <w:rStyle w:val="VerbatimChar"/>
        </w:rPr>
        <w:t xml:space="preserve">----------------------------------------------------------------------------</w:t>
      </w:r>
      <w:r>
        <w:br/>
      </w:r>
      <w:r>
        <w:rPr>
          <w:rStyle w:val="VerbatimChar"/>
        </w:rPr>
        <w:t xml:space="preserve">(Intercept)        |  -0.69 | [-0.76, -0.62] | 2.92e+17 | 1.003 |       1879</w:t>
      </w:r>
      <w:r>
        <w:br/>
      </w:r>
      <w:r>
        <w:rPr>
          <w:rStyle w:val="VerbatimChar"/>
        </w:rPr>
        <w:t xml:space="preserve">anxious_depression |   0.11 | [ 0.04,  0.17] |    17.04 | 1.006 |       2298</w:t>
      </w:r>
      <w:r>
        <w:br/>
      </w:r>
      <w:r>
        <w:br/>
      </w:r>
      <w:r>
        <w:rPr>
          <w:rStyle w:val="VerbatimChar"/>
        </w:rPr>
        <w:t xml:space="preserve"># Fixed effects (metac2one2diff)</w:t>
      </w:r>
      <w:r>
        <w:br/>
      </w:r>
      <w:r>
        <w:br/>
      </w:r>
      <w:r>
        <w:rPr>
          <w:rStyle w:val="VerbatimChar"/>
        </w:rPr>
        <w:t xml:space="preserve">Parameter          | Median |         95% CI |       BF |  Rhat | ESS (tail)</w:t>
      </w:r>
      <w:r>
        <w:br/>
      </w:r>
      <w:r>
        <w:rPr>
          <w:rStyle w:val="VerbatimChar"/>
        </w:rPr>
        <w:t xml:space="preserve">----------------------------------------------------------------------------</w:t>
      </w:r>
      <w:r>
        <w:br/>
      </w:r>
      <w:r>
        <w:rPr>
          <w:rStyle w:val="VerbatimChar"/>
        </w:rPr>
        <w:t xml:space="preserve">(Intercept)        |  -0.64 | [-0.71, -0.58] | 6.83e+21 | 1.006 |       2717</w:t>
      </w:r>
      <w:r>
        <w:br/>
      </w:r>
      <w:r>
        <w:rPr>
          <w:rStyle w:val="VerbatimChar"/>
        </w:rPr>
        <w:t xml:space="preserve">anxious_depression |  -0.02 | [-0.08,  0.04] |    0.144 | 1.000 |       3380</w:t>
      </w:r>
    </w:p>
    <w:p>
      <w:pPr>
        <w:pStyle w:val="FirstParagraph"/>
      </w:pPr>
      <w:r>
        <w:t xml:space="preserve">In line with our visualizations above, the Bayes Factors show evidence for null effects of anxious-depression on</w:t>
      </w:r>
      <w:r>
        <w:t xml:space="preserve"> </w:t>
      </w:r>
      <m:oMath>
        <m:r>
          <m:t>M</m:t>
        </m:r>
      </m:oMath>
      <w:r>
        <w:t xml:space="preserve">-ratio,</w:t>
      </w:r>
      <w:r>
        <w:t xml:space="preserve"> </w:t>
      </w:r>
      <m:oMath>
        <m:sSup>
          <m:e>
            <m:r>
              <m:t>d</m:t>
            </m:r>
          </m:e>
          <m:sup>
            <m:r>
              <m:rPr>
                <m:sty m:val="p"/>
              </m:rPr>
              <m:t>′</m:t>
            </m:r>
          </m:sup>
        </m:sSup>
      </m:oMath>
      <w:r>
        <w:t xml:space="preserve">, and</w:t>
      </w:r>
      <w:r>
        <w:t xml:space="preserve"> </w:t>
      </w:r>
      <m:oMath>
        <m:r>
          <m:t>c</m:t>
        </m:r>
      </m:oMath>
      <w:r>
        <w:t xml:space="preserve">, but evidence for mixed effects on the confidence criteria. Specifically, while the confidence criteria for the lowest confidence level are shifted further away with anxious-depression, we see moderate evidence against effects on the highest confidence level. Again, to get a clearer picture, we can analyze</w:t>
      </w:r>
      <w:r>
        <w:t xml:space="preserve"> </w:t>
      </w:r>
      <m:oMath>
        <m:r>
          <m:rPr>
            <m:nor/>
            <m:sty m:val="p"/>
          </m:rPr>
          <m:t>meta-</m:t>
        </m:r>
        <m:r>
          <m:rPr>
            <m:sty m:val="p"/>
          </m:rPr>
          <m:t>Δ</m:t>
        </m:r>
      </m:oMath>
      <w:r>
        <w:t xml:space="preserve"> </w:t>
      </w:r>
      <w:r>
        <w:t xml:space="preserve">instead of the individual confidence criteria. Since</w:t>
      </w:r>
      <w:r>
        <w:t xml:space="preserve"> </w:t>
      </w:r>
      <m:oMath>
        <m:r>
          <m:rPr>
            <m:nor/>
            <m:sty m:val="p"/>
          </m:rPr>
          <m:t>meta-</m:t>
        </m:r>
        <m:r>
          <m:rPr>
            <m:sty m:val="p"/>
          </m:rPr>
          <m:t>Δ</m:t>
        </m:r>
      </m:oMath>
      <w:r>
        <w:t xml:space="preserve"> </w:t>
      </w:r>
      <w:r>
        <w:t xml:space="preserve">is a derived value from the model (and not directly a modeled parameter), we must compute these contrasts manually using the function</w:t>
      </w:r>
      <w:r>
        <w:t xml:space="preserve"> </w:t>
      </w:r>
      <w:r>
        <w:rPr>
          <w:rStyle w:val="VerbatimChar"/>
        </w:rPr>
        <w:t xml:space="preserve">compare_levels</w:t>
      </w:r>
      <w:r>
        <w:t xml:space="preserve"> </w:t>
      </w:r>
      <w:r>
        <w:t xml:space="preserve">from the</w:t>
      </w:r>
      <w:r>
        <w:t xml:space="preserve"> </w:t>
      </w:r>
      <w:r>
        <w:rPr>
          <w:rStyle w:val="VerbatimChar"/>
        </w:rPr>
        <w:t xml:space="preserve">tidybayes</w:t>
      </w:r>
      <w:r>
        <w:t xml:space="preserve"> </w:t>
      </w:r>
      <w:r>
        <w:t xml:space="preserve">package:</w:t>
      </w:r>
    </w:p>
    <w:p>
      <w:pPr>
        <w:pStyle w:val="SourceCode"/>
      </w:pPr>
      <w:r>
        <w:rPr>
          <w:rStyle w:val="NormalTok"/>
        </w:rPr>
        <w:t xml:space="preserve">contr.bias </w:t>
      </w:r>
      <w:r>
        <w:rPr>
          <w:rStyle w:val="OtherTok"/>
        </w:rPr>
        <w:t xml:space="preserve">&lt;-</w:t>
      </w:r>
      <w:r>
        <w:rPr>
          <w:rStyle w:val="NormalTok"/>
        </w:rPr>
        <w:t xml:space="preserve"> draws.bias </w:t>
      </w:r>
      <w:r>
        <w:rPr>
          <w:rStyle w:val="SpecialCharTok"/>
        </w:rPr>
        <w:t xml:space="preserve">|&gt;</w:t>
      </w:r>
      <w:r>
        <w:br/>
      </w:r>
      <w:r>
        <w:rPr>
          <w:rStyle w:val="NormalTok"/>
        </w:rPr>
        <w:t xml:space="preserve">  </w:t>
      </w:r>
      <w:r>
        <w:rPr>
          <w:rStyle w:val="FunctionTok"/>
        </w:rPr>
        <w:t xml:space="preserve">filter</w:t>
      </w:r>
      <w:r>
        <w:rPr>
          <w:rStyle w:val="NormalTok"/>
        </w:rPr>
        <w:t xml:space="preserve">(anxious_depression </w:t>
      </w:r>
      <w:r>
        <w:rPr>
          <w:rStyle w:val="SpecialCharTok"/>
        </w:rPr>
        <w:t xml:space="preserve">%in%</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w:t>
      </w:r>
      <w:r>
        <w:rPr>
          <w:rStyle w:val="NormalTok"/>
        </w:rPr>
        <w:t xml:space="preserve">)) </w:t>
      </w:r>
      <w:r>
        <w:rPr>
          <w:rStyle w:val="SpecialCharTok"/>
        </w:rPr>
        <w:t xml:space="preserve">|&gt;</w:t>
      </w:r>
      <w:r>
        <w:br/>
      </w:r>
      <w:r>
        <w:rPr>
          <w:rStyle w:val="NormalTok"/>
        </w:rPr>
        <w:t xml:space="preserve">  </w:t>
      </w:r>
      <w:r>
        <w:rPr>
          <w:rStyle w:val="FunctionTok"/>
        </w:rPr>
        <w:t xml:space="preserve">compare_levels</w:t>
      </w:r>
      <w:r>
        <w:rPr>
          <w:rStyle w:val="NormalTok"/>
        </w:rPr>
        <w:t xml:space="preserve">(metacognitive_bias, </w:t>
      </w:r>
      <w:r>
        <w:rPr>
          <w:rStyle w:val="AttributeTok"/>
        </w:rPr>
        <w:t xml:space="preserve">by =</w:t>
      </w:r>
      <w:r>
        <w:rPr>
          <w:rStyle w:val="NormalTok"/>
        </w:rPr>
        <w:t xml:space="preserve"> anxious_depression)</w:t>
      </w:r>
    </w:p>
    <w:p>
      <w:pPr>
        <w:pStyle w:val="FirstParagraph"/>
      </w:pPr>
      <w:r>
        <w:t xml:space="preserve">Next, we need to compute the same set of contrasts using our prior model (code omitted for brevity). Finally, after merging the two sets of predictions into a single dataframe, we can compute the Bayes Factors using the function</w:t>
      </w:r>
      <w:r>
        <w:t xml:space="preserve"> </w:t>
      </w:r>
      <w:r>
        <w:rPr>
          <w:rStyle w:val="VerbatimChar"/>
        </w:rPr>
        <w:t xml:space="preserve">bayestestR::bf_pointnull</w:t>
      </w:r>
      <w:r>
        <w:t xml:space="preserve">:</w:t>
      </w:r>
    </w:p>
    <w:p>
      <w:pPr>
        <w:pStyle w:val="SourceCode"/>
      </w:pPr>
      <w:r>
        <w:rPr>
          <w:rStyle w:val="NormalTok"/>
        </w:rPr>
        <w:t xml:space="preserve">contr.bias </w:t>
      </w:r>
      <w:r>
        <w:rPr>
          <w:rStyle w:val="SpecialCharTok"/>
        </w:rPr>
        <w:t xml:space="preserve">|&gt;</w:t>
      </w:r>
      <w:r>
        <w:br/>
      </w:r>
      <w:r>
        <w:rPr>
          <w:rStyle w:val="NormalTok"/>
        </w:rPr>
        <w:t xml:space="preserve">  </w:t>
      </w:r>
      <w:r>
        <w:rPr>
          <w:rStyle w:val="FunctionTok"/>
        </w:rPr>
        <w:t xml:space="preserve">left_join</w:t>
      </w:r>
      <w:r>
        <w:rPr>
          <w:rStyle w:val="NormalTok"/>
        </w:rPr>
        <w:t xml:space="preserve">(prior.bias)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BF =</w:t>
      </w:r>
      <w:r>
        <w:rPr>
          <w:rStyle w:val="NormalTok"/>
        </w:rPr>
        <w:t xml:space="preserve"> </w:t>
      </w:r>
      <w:r>
        <w:rPr>
          <w:rStyle w:val="FunctionTok"/>
        </w:rPr>
        <w:t xml:space="preserve">as.numeric</w:t>
      </w:r>
      <w:r>
        <w:rPr>
          <w:rStyle w:val="NormalTok"/>
        </w:rPr>
        <w:t xml:space="preserve">(</w:t>
      </w:r>
      <w:r>
        <w:rPr>
          <w:rStyle w:val="FunctionTok"/>
        </w:rPr>
        <w:t xml:space="preserve">bf_pointnull</w:t>
      </w:r>
      <w:r>
        <w:rPr>
          <w:rStyle w:val="NormalTok"/>
        </w:rPr>
        <w:t xml:space="preserve">(metacognitive_bias, prior)))</w:t>
      </w:r>
    </w:p>
    <w:p>
      <w:pPr>
        <w:pStyle w:val="SourceCode"/>
      </w:pPr>
      <w:r>
        <w:rPr>
          <w:rStyle w:val="VerbatimChar"/>
        </w:rPr>
        <w:t xml:space="preserve"># A tibble: 1 × 4</w:t>
      </w:r>
      <w:r>
        <w:br/>
      </w:r>
      <w:r>
        <w:rPr>
          <w:rStyle w:val="VerbatimChar"/>
        </w:rPr>
        <w:t xml:space="preserve"># Groups:   anxious_depression [1]</w:t>
      </w:r>
      <w:r>
        <w:br/>
      </w:r>
      <w:r>
        <w:rPr>
          <w:rStyle w:val="VerbatimChar"/>
        </w:rPr>
        <w:t xml:space="preserve">  anxious_depression metacognitive_bias         prior    BF</w:t>
      </w:r>
      <w:r>
        <w:br/>
      </w:r>
      <w:r>
        <w:rPr>
          <w:rStyle w:val="VerbatimChar"/>
        </w:rPr>
        <w:t xml:space="preserve">  &lt;chr&gt;                      &lt;rvar[1d]&gt;    &lt;rvar[1d]&gt; &lt;dbl&gt;</w:t>
      </w:r>
      <w:r>
        <w:br/>
      </w:r>
      <w:r>
        <w:rPr>
          <w:rStyle w:val="VerbatimChar"/>
        </w:rPr>
        <w:t xml:space="preserve">1 1 - 0                   0.059 ± 0.022  0.027 ± 0.21  8.16</w:t>
      </w:r>
    </w:p>
    <w:p>
      <w:pPr>
        <w:pStyle w:val="FirstParagraph"/>
      </w:pPr>
      <w:r>
        <w:t xml:space="preserve">This analysis confirms the findings by</w:t>
      </w:r>
      <w:r>
        <w:t xml:space="preserve"> </w:t>
      </w:r>
      <w:r>
        <w:t xml:space="preserve">Rouault et al. (</w:t>
      </w:r>
      <w:hyperlink w:anchor="ref-rouault2018">
        <w:r>
          <w:rPr>
            <w:rStyle w:val="Hyperlink"/>
          </w:rPr>
          <w:t xml:space="preserve">2018</w:t>
        </w:r>
      </w:hyperlink>
      <w:r>
        <w:t xml:space="preserve">)</w:t>
      </w:r>
      <w:r>
        <w:t xml:space="preserve">, namely that there is moderately strong evidence that overall confidence level (corrected for Type I confounds using the</w:t>
      </w:r>
      <w:r>
        <w:t xml:space="preserve"> </w:t>
      </w:r>
      <m:oMath>
        <m:r>
          <m:rPr>
            <m:nor/>
            <m:sty m:val="p"/>
          </m:rPr>
          <m:t>meta-</m:t>
        </m:r>
        <m:r>
          <m:rPr>
            <m:sty m:val="p"/>
          </m:rPr>
          <m:t>Δ</m:t>
        </m:r>
      </m:oMath>
      <w:r>
        <w:t xml:space="preserve"> </w:t>
      </w:r>
      <w:r>
        <w:t xml:space="preserve">statistic) is decreased with anxious-depression.</w:t>
      </w:r>
    </w:p>
    <w:bookmarkEnd w:id="105"/>
    <w:bookmarkStart w:id="110" w:name="adding-complexity"/>
    <w:p>
      <w:pPr>
        <w:pStyle w:val="Heading2"/>
      </w:pPr>
      <w:r>
        <w:t xml:space="preserve">Adding complexity</w:t>
      </w:r>
    </w:p>
    <w:p>
      <w:pPr>
        <w:pStyle w:val="FirstParagraph"/>
      </w:pPr>
      <w:r>
        <w:t xml:space="preserve">Above, we have somewhat simplified our analysis by looking only at associations with anxious-depression. But</w:t>
      </w:r>
      <w:r>
        <w:t xml:space="preserve"> </w:t>
      </w:r>
      <w:r>
        <w:t xml:space="preserve">Rouault et al. (</w:t>
      </w:r>
      <w:hyperlink w:anchor="ref-rouault2018">
        <w:r>
          <w:rPr>
            <w:rStyle w:val="Hyperlink"/>
          </w:rPr>
          <w:t xml:space="preserve">2018</w:t>
        </w:r>
      </w:hyperlink>
      <w:r>
        <w:t xml:space="preserve">)</w:t>
      </w:r>
      <w:r>
        <w:t xml:space="preserve"> </w:t>
      </w:r>
      <w:r>
        <w:t xml:space="preserve">found two other relevant mental health factors: compulsivity and social withdrawal. Previous implementations would require manual re-coding of the model to incorporate these additional effects. With the</w:t>
      </w:r>
      <w:r>
        <w:t xml:space="preserve"> </w:t>
      </w:r>
      <w:r>
        <w:rPr>
          <w:rStyle w:val="VerbatimChar"/>
        </w:rPr>
        <w:t xml:space="preserve">hmetad</w:t>
      </w:r>
      <w:r>
        <w:t xml:space="preserve"> </w:t>
      </w:r>
      <w:r>
        <w:t xml:space="preserve">package, however, we can simply include these additional factors as predictors in the model formula and re-fit the model:</w:t>
      </w:r>
    </w:p>
    <w:p>
      <w:pPr>
        <w:pStyle w:val="SourceCode"/>
      </w:pPr>
      <w:r>
        <w:rPr>
          <w:rStyle w:val="NormalTok"/>
        </w:rPr>
        <w:t xml:space="preserve">formula </w:t>
      </w:r>
      <w:r>
        <w:rPr>
          <w:rStyle w:val="OtherTok"/>
        </w:rPr>
        <w:t xml:space="preserve">&lt;-</w:t>
      </w:r>
      <w:r>
        <w:rPr>
          <w:rStyle w:val="NormalTok"/>
        </w:rPr>
        <w:t xml:space="preserve"> </w:t>
      </w:r>
      <w:r>
        <w:rPr>
          <w:rStyle w:val="FunctionTok"/>
        </w:rPr>
        <w:t xml:space="preserve">bf</w:t>
      </w:r>
      <w:r>
        <w:rPr>
          <w:rStyle w:val="NormalTok"/>
        </w:rPr>
        <w:t xml:space="preserve">(</w:t>
      </w:r>
      <w:r>
        <w:br/>
      </w:r>
      <w:r>
        <w:rPr>
          <w:rStyle w:val="NormalTok"/>
        </w:rPr>
        <w:t xml:space="preserve">  N </w:t>
      </w:r>
      <w:r>
        <w:rPr>
          <w:rStyle w:val="SpecialCharTok"/>
        </w:rPr>
        <w:t xml:space="preserve">~</w:t>
      </w:r>
      <w:r>
        <w:rPr>
          <w:rStyle w:val="NormalTok"/>
        </w:rPr>
        <w:t xml:space="preserve"> anxious_depression </w:t>
      </w:r>
      <w:r>
        <w:rPr>
          <w:rStyle w:val="SpecialCharTok"/>
        </w:rPr>
        <w:t xml:space="preserve">+</w:t>
      </w:r>
      <w:r>
        <w:rPr>
          <w:rStyle w:val="NormalTok"/>
        </w:rPr>
        <w:t xml:space="preserve"> compulsivity </w:t>
      </w:r>
      <w:r>
        <w:rPr>
          <w:rStyle w:val="SpecialCharTok"/>
        </w:rPr>
        <w:t xml:space="preserve">+</w:t>
      </w:r>
      <w:r>
        <w:rPr>
          <w:rStyle w:val="NormalTok"/>
        </w:rPr>
        <w:t xml:space="preserve"> social_withdrawal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participant),</w:t>
      </w:r>
      <w:r>
        <w:br/>
      </w:r>
      <w:r>
        <w:rPr>
          <w:rStyle w:val="NormalTok"/>
        </w:rPr>
        <w:t xml:space="preserve">  dprime </w:t>
      </w:r>
      <w:r>
        <w:rPr>
          <w:rStyle w:val="SpecialCharTok"/>
        </w:rPr>
        <w:t xml:space="preserve">+</w:t>
      </w:r>
      <w:r>
        <w:rPr>
          <w:rStyle w:val="NormalTok"/>
        </w:rPr>
        <w:t xml:space="preserve"> c </w:t>
      </w:r>
      <w:r>
        <w:rPr>
          <w:rStyle w:val="SpecialCharTok"/>
        </w:rPr>
        <w:t xml:space="preserve">~</w:t>
      </w:r>
      <w:r>
        <w:rPr>
          <w:rStyle w:val="NormalTok"/>
        </w:rPr>
        <w:t xml:space="preserve"> anxious_depression </w:t>
      </w:r>
      <w:r>
        <w:rPr>
          <w:rStyle w:val="SpecialCharTok"/>
        </w:rPr>
        <w:t xml:space="preserve">+</w:t>
      </w:r>
      <w:r>
        <w:rPr>
          <w:rStyle w:val="NormalTok"/>
        </w:rPr>
        <w:t xml:space="preserve"> compulsivity </w:t>
      </w:r>
      <w:r>
        <w:rPr>
          <w:rStyle w:val="SpecialCharTok"/>
        </w:rPr>
        <w:t xml:space="preserve">+</w:t>
      </w:r>
      <w:r>
        <w:rPr>
          <w:rStyle w:val="NormalTok"/>
        </w:rPr>
        <w:t xml:space="preserve"> social_withdrawal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participant),</w:t>
      </w:r>
      <w:r>
        <w:br/>
      </w:r>
      <w:r>
        <w:rPr>
          <w:rStyle w:val="NormalTok"/>
        </w:rPr>
        <w:t xml:space="preserve">  metac2zero1diff </w:t>
      </w:r>
      <w:r>
        <w:rPr>
          <w:rStyle w:val="SpecialCharTok"/>
        </w:rPr>
        <w:t xml:space="preserve">+</w:t>
      </w:r>
      <w:r>
        <w:rPr>
          <w:rStyle w:val="NormalTok"/>
        </w:rPr>
        <w:t xml:space="preserve"> metac2zero2diff </w:t>
      </w:r>
      <w:r>
        <w:rPr>
          <w:rStyle w:val="SpecialCharTok"/>
        </w:rPr>
        <w:t xml:space="preserve">+</w:t>
      </w:r>
      <w:r>
        <w:br/>
      </w:r>
      <w:r>
        <w:rPr>
          <w:rStyle w:val="NormalTok"/>
        </w:rPr>
        <w:t xml:space="preserve">    metac2one1diff </w:t>
      </w:r>
      <w:r>
        <w:rPr>
          <w:rStyle w:val="SpecialCharTok"/>
        </w:rPr>
        <w:t xml:space="preserve">+</w:t>
      </w:r>
      <w:r>
        <w:rPr>
          <w:rStyle w:val="NormalTok"/>
        </w:rPr>
        <w:t xml:space="preserve"> metac2one2diff </w:t>
      </w:r>
      <w:r>
        <w:rPr>
          <w:rStyle w:val="SpecialCharTok"/>
        </w:rPr>
        <w:t xml:space="preserve">~</w:t>
      </w:r>
      <w:r>
        <w:br/>
      </w:r>
      <w:r>
        <w:rPr>
          <w:rStyle w:val="NormalTok"/>
        </w:rPr>
        <w:t xml:space="preserve">    anxious_depression </w:t>
      </w:r>
      <w:r>
        <w:rPr>
          <w:rStyle w:val="SpecialCharTok"/>
        </w:rPr>
        <w:t xml:space="preserve">+</w:t>
      </w:r>
      <w:r>
        <w:rPr>
          <w:rStyle w:val="NormalTok"/>
        </w:rPr>
        <w:t xml:space="preserve"> compulsivity </w:t>
      </w:r>
      <w:r>
        <w:rPr>
          <w:rStyle w:val="SpecialCharTok"/>
        </w:rPr>
        <w:t xml:space="preserve">+</w:t>
      </w:r>
      <w:r>
        <w:rPr>
          <w:rStyle w:val="NormalTok"/>
        </w:rPr>
        <w:t xml:space="preserve"> social_withdrawal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w:t>
      </w:r>
      <w:r>
        <w:br/>
      </w:r>
      <w:r>
        <w:br/>
      </w:r>
      <w:r>
        <w:rPr>
          <w:rStyle w:val="NormalTok"/>
        </w:rPr>
        <w:t xml:space="preserve">m.prior.full </w:t>
      </w:r>
      <w:r>
        <w:rPr>
          <w:rStyle w:val="OtherTok"/>
        </w:rPr>
        <w:t xml:space="preserve">&lt;-</w:t>
      </w:r>
      <w:r>
        <w:rPr>
          <w:rStyle w:val="NormalTok"/>
        </w:rPr>
        <w:t xml:space="preserve"> </w:t>
      </w:r>
      <w:r>
        <w:rPr>
          <w:rStyle w:val="FunctionTok"/>
        </w:rPr>
        <w:t xml:space="preserve">fit_metad</w:t>
      </w:r>
      <w:r>
        <w:rPr>
          <w:rStyle w:val="NormalTok"/>
        </w:rPr>
        <w:t xml:space="preserve">(</w:t>
      </w:r>
      <w:r>
        <w:br/>
      </w:r>
      <w:r>
        <w:rPr>
          <w:rStyle w:val="NormalTok"/>
        </w:rPr>
        <w:t xml:space="preserve">  formula, d,</w:t>
      </w:r>
      <w:r>
        <w:br/>
      </w:r>
      <w:r>
        <w:rPr>
          <w:rStyle w:val="NormalTok"/>
        </w:rPr>
        <w:t xml:space="preserve">  </w:t>
      </w:r>
      <w:r>
        <w:rPr>
          <w:rStyle w:val="AttributeTok"/>
        </w:rPr>
        <w:t xml:space="preserve">.stimulus =</w:t>
      </w:r>
      <w:r>
        <w:rPr>
          <w:rStyle w:val="NormalTok"/>
        </w:rPr>
        <w:t xml:space="preserve"> </w:t>
      </w:r>
      <w:r>
        <w:rPr>
          <w:rStyle w:val="StringTok"/>
        </w:rPr>
        <w:t xml:space="preserve">"stimulus_left"</w:t>
      </w:r>
      <w:r>
        <w:rPr>
          <w:rStyle w:val="NormalTok"/>
        </w:rPr>
        <w:t xml:space="preserve">, </w:t>
      </w:r>
      <w:r>
        <w:rPr>
          <w:rStyle w:val="AttributeTok"/>
        </w:rPr>
        <w:t xml:space="preserve">.response =</w:t>
      </w:r>
      <w:r>
        <w:rPr>
          <w:rStyle w:val="NormalTok"/>
        </w:rPr>
        <w:t xml:space="preserve"> </w:t>
      </w:r>
      <w:r>
        <w:rPr>
          <w:rStyle w:val="StringTok"/>
        </w:rPr>
        <w:t xml:space="preserve">"response_left"</w:t>
      </w:r>
      <w:r>
        <w:rPr>
          <w:rStyle w:val="NormalTok"/>
        </w:rPr>
        <w:t xml:space="preserve">,</w:t>
      </w:r>
      <w:r>
        <w:br/>
      </w:r>
      <w:r>
        <w:rPr>
          <w:rStyle w:val="NormalTok"/>
        </w:rPr>
        <w:t xml:space="preserve">  </w:t>
      </w:r>
      <w:r>
        <w:rPr>
          <w:rStyle w:val="AttributeTok"/>
        </w:rPr>
        <w:t xml:space="preserve">prior =</w:t>
      </w:r>
      <w:r>
        <w:rPr>
          <w:rStyle w:val="NormalTok"/>
        </w:rPr>
        <w:t xml:space="preserve"> prior, </w:t>
      </w:r>
      <w:r>
        <w:rPr>
          <w:rStyle w:val="AttributeTok"/>
        </w:rPr>
        <w:t xml:space="preserve">sample_prior =</w:t>
      </w:r>
      <w:r>
        <w:rPr>
          <w:rStyle w:val="NormalTok"/>
        </w:rPr>
        <w:t xml:space="preserve"> </w:t>
      </w:r>
      <w:r>
        <w:rPr>
          <w:rStyle w:val="StringTok"/>
        </w:rPr>
        <w:t xml:space="preserve">"only"</w:t>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 </w:t>
      </w:r>
      <w:r>
        <w:rPr>
          <w:rStyle w:val="AttributeTok"/>
        </w:rPr>
        <w:t xml:space="preserve">init =</w:t>
      </w:r>
      <w:r>
        <w:rPr>
          <w:rStyle w:val="NormalTok"/>
        </w:rPr>
        <w:t xml:space="preserve"> </w:t>
      </w:r>
      <w:r>
        <w:rPr>
          <w:rStyle w:val="DecValTok"/>
        </w:rPr>
        <w:t xml:space="preserve">0</w:t>
      </w:r>
      <w:r>
        <w:rPr>
          <w:rStyle w:val="NormalTok"/>
        </w:rPr>
        <w:t xml:space="preserve">,</w:t>
      </w:r>
      <w:r>
        <w:br/>
      </w:r>
      <w:r>
        <w:rPr>
          <w:rStyle w:val="NormalTok"/>
        </w:rPr>
        <w:t xml:space="preserve">  </w:t>
      </w:r>
      <w:r>
        <w:rPr>
          <w:rStyle w:val="AttributeTok"/>
        </w:rPr>
        <w:t xml:space="preserve">file =</w:t>
      </w:r>
      <w:r>
        <w:rPr>
          <w:rStyle w:val="NormalTok"/>
        </w:rPr>
        <w:t xml:space="preserve"> </w:t>
      </w:r>
      <w:r>
        <w:rPr>
          <w:rStyle w:val="StringTok"/>
        </w:rPr>
        <w:t xml:space="preserve">"_models/prior_full.rds"</w:t>
      </w:r>
      <w:r>
        <w:br/>
      </w:r>
      <w:r>
        <w:rPr>
          <w:rStyle w:val="NormalTok"/>
        </w:rPr>
        <w:t xml:space="preserve">)</w:t>
      </w:r>
      <w:r>
        <w:br/>
      </w:r>
      <w:r>
        <w:br/>
      </w:r>
      <w:r>
        <w:rPr>
          <w:rStyle w:val="NormalTok"/>
        </w:rPr>
        <w:t xml:space="preserve">m.full </w:t>
      </w:r>
      <w:r>
        <w:rPr>
          <w:rStyle w:val="OtherTok"/>
        </w:rPr>
        <w:t xml:space="preserve">&lt;-</w:t>
      </w:r>
      <w:r>
        <w:rPr>
          <w:rStyle w:val="NormalTok"/>
        </w:rPr>
        <w:t xml:space="preserve"> </w:t>
      </w:r>
      <w:r>
        <w:rPr>
          <w:rStyle w:val="FunctionTok"/>
        </w:rPr>
        <w:t xml:space="preserve">update</w:t>
      </w:r>
      <w:r>
        <w:rPr>
          <w:rStyle w:val="NormalTok"/>
        </w:rPr>
        <w:t xml:space="preserve">(</w:t>
      </w:r>
      <w:r>
        <w:br/>
      </w:r>
      <w:r>
        <w:rPr>
          <w:rStyle w:val="NormalTok"/>
        </w:rPr>
        <w:t xml:space="preserve">  m.prior.full,</w:t>
      </w:r>
      <w:r>
        <w:br/>
      </w:r>
      <w:r>
        <w:rPr>
          <w:rStyle w:val="NormalTok"/>
        </w:rPr>
        <w:t xml:space="preserve">  </w:t>
      </w:r>
      <w:r>
        <w:rPr>
          <w:rStyle w:val="AttributeTok"/>
        </w:rPr>
        <w:t xml:space="preserve">file =</w:t>
      </w:r>
      <w:r>
        <w:rPr>
          <w:rStyle w:val="NormalTok"/>
        </w:rPr>
        <w:t xml:space="preserve"> </w:t>
      </w:r>
      <w:r>
        <w:rPr>
          <w:rStyle w:val="StringTok"/>
        </w:rPr>
        <w:t xml:space="preserve">"_models/fit_full.rds"</w:t>
      </w:r>
      <w:r>
        <w:rPr>
          <w:rStyle w:val="NormalTok"/>
        </w:rPr>
        <w:t xml:space="preserve">,</w:t>
      </w:r>
      <w:r>
        <w:br/>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 </w:t>
      </w:r>
      <w:r>
        <w:rPr>
          <w:rStyle w:val="AttributeTok"/>
        </w:rPr>
        <w:t xml:space="preserve">sample_prior =</w:t>
      </w:r>
      <w:r>
        <w:rPr>
          <w:rStyle w:val="NormalTok"/>
        </w:rPr>
        <w:t xml:space="preserve"> </w:t>
      </w:r>
      <w:r>
        <w:rPr>
          <w:rStyle w:val="StringTok"/>
        </w:rPr>
        <w:t xml:space="preserve">"no"</w:t>
      </w:r>
      <w:r>
        <w:rPr>
          <w:rStyle w:val="NormalTok"/>
        </w:rPr>
        <w:t xml:space="preserve">, </w:t>
      </w:r>
      <w:r>
        <w:rPr>
          <w:rStyle w:val="AttributeTok"/>
        </w:rPr>
        <w:t xml:space="preserve">control =</w:t>
      </w:r>
      <w:r>
        <w:rPr>
          <w:rStyle w:val="NormalTok"/>
        </w:rPr>
        <w:t xml:space="preserve"> </w:t>
      </w:r>
      <w:r>
        <w:rPr>
          <w:rStyle w:val="FunctionTok"/>
        </w:rPr>
        <w:t xml:space="preserve">list</w:t>
      </w:r>
      <w:r>
        <w:rPr>
          <w:rStyle w:val="NormalTok"/>
        </w:rPr>
        <w:t xml:space="preserve">(</w:t>
      </w:r>
      <w:r>
        <w:rPr>
          <w:rStyle w:val="AttributeTok"/>
        </w:rPr>
        <w:t xml:space="preserve">adapt_delta =</w:t>
      </w:r>
      <w:r>
        <w:rPr>
          <w:rStyle w:val="NormalTok"/>
        </w:rPr>
        <w:t xml:space="preserve"> </w:t>
      </w:r>
      <w:r>
        <w:rPr>
          <w:rStyle w:val="FloatTok"/>
        </w:rPr>
        <w:t xml:space="preserve">0.95</w:t>
      </w:r>
      <w:r>
        <w:rPr>
          <w:rStyle w:val="NormalTok"/>
        </w:rPr>
        <w:t xml:space="preserve">),</w:t>
      </w:r>
      <w:r>
        <w:br/>
      </w:r>
      <w:r>
        <w:rPr>
          <w:rStyle w:val="NormalTok"/>
        </w:rPr>
        <w:t xml:space="preserve">)</w:t>
      </w:r>
    </w:p>
    <w:p>
      <w:pPr>
        <w:pStyle w:val="SourceCode"/>
      </w:pPr>
      <w:r>
        <w:rPr>
          <w:rStyle w:val="VerbatimChar"/>
        </w:rPr>
        <w:t xml:space="preserve">Multilevel Hyperparameters:</w:t>
      </w:r>
      <w:r>
        <w:br/>
      </w:r>
      <w:r>
        <w:rPr>
          <w:rStyle w:val="VerbatimChar"/>
        </w:rPr>
        <w:t xml:space="preserve">~participant (Number of levels: 453) </w:t>
      </w:r>
      <w:r>
        <w:br/>
      </w:r>
      <w:r>
        <w:rPr>
          <w:rStyle w:val="VerbatimChar"/>
        </w:rPr>
        <w:t xml:space="preserve">                                                         Estimate Est.Error</w:t>
      </w:r>
      <w:r>
        <w:br/>
      </w:r>
      <w:r>
        <w:rPr>
          <w:rStyle w:val="VerbatimChar"/>
        </w:rPr>
        <w:t xml:space="preserve">sd(Intercept)                                                0.34      0.02</w:t>
      </w:r>
      <w:r>
        <w:br/>
      </w:r>
      <w:r>
        <w:rPr>
          <w:rStyle w:val="VerbatimChar"/>
        </w:rPr>
        <w:t xml:space="preserve">sd(dprime_Intercept)                                         0.01      0.01</w:t>
      </w:r>
      <w:r>
        <w:br/>
      </w:r>
      <w:r>
        <w:rPr>
          <w:rStyle w:val="VerbatimChar"/>
        </w:rPr>
        <w:t xml:space="preserve">sd(c_Intercept)                                              0.33      0.01</w:t>
      </w:r>
      <w:r>
        <w:br/>
      </w:r>
      <w:r>
        <w:rPr>
          <w:rStyle w:val="VerbatimChar"/>
        </w:rPr>
        <w:t xml:space="preserve">sd(metac2zero1diff_Intercept)                                0.77      0.03</w:t>
      </w:r>
      <w:r>
        <w:br/>
      </w:r>
      <w:r>
        <w:rPr>
          <w:rStyle w:val="VerbatimChar"/>
        </w:rPr>
        <w:t xml:space="preserve">sd(metac2zero2diff_Intercept)                                0.65      0.02</w:t>
      </w:r>
      <w:r>
        <w:br/>
      </w:r>
      <w:r>
        <w:rPr>
          <w:rStyle w:val="VerbatimChar"/>
        </w:rPr>
        <w:t xml:space="preserve">sd(metac2one1diff_Intercept)                                 0.73      0.03</w:t>
      </w:r>
      <w:r>
        <w:br/>
      </w:r>
      <w:r>
        <w:rPr>
          <w:rStyle w:val="VerbatimChar"/>
        </w:rPr>
        <w:t xml:space="preserve">sd(metac2one2diff_Intercept)                                 0.65      0.02</w:t>
      </w:r>
      <w:r>
        <w:br/>
      </w:r>
      <w:r>
        <w:rPr>
          <w:rStyle w:val="VerbatimChar"/>
        </w:rPr>
        <w:t xml:space="preserve">cor(metac2zero1diff_Intercept,metac2zero2diff_Intercept)     0.42      0.04</w:t>
      </w:r>
      <w:r>
        <w:br/>
      </w:r>
      <w:r>
        <w:rPr>
          <w:rStyle w:val="VerbatimChar"/>
        </w:rPr>
        <w:t xml:space="preserve">cor(metac2zero1diff_Intercept,metac2one1diff_Intercept)      0.92      0.01</w:t>
      </w:r>
      <w:r>
        <w:br/>
      </w:r>
      <w:r>
        <w:rPr>
          <w:rStyle w:val="VerbatimChar"/>
        </w:rPr>
        <w:t xml:space="preserve">cor(metac2zero2diff_Intercept,metac2one1diff_Intercept)      0.41      0.04</w:t>
      </w:r>
      <w:r>
        <w:br/>
      </w:r>
      <w:r>
        <w:rPr>
          <w:rStyle w:val="VerbatimChar"/>
        </w:rPr>
        <w:t xml:space="preserve">cor(metac2zero1diff_Intercept,metac2one2diff_Intercept)      0.36      0.05</w:t>
      </w:r>
      <w:r>
        <w:br/>
      </w:r>
      <w:r>
        <w:rPr>
          <w:rStyle w:val="VerbatimChar"/>
        </w:rPr>
        <w:t xml:space="preserve">cor(metac2zero2diff_Intercept,metac2one2diff_Intercept)      0.95      0.01</w:t>
      </w:r>
      <w:r>
        <w:br/>
      </w:r>
      <w:r>
        <w:rPr>
          <w:rStyle w:val="VerbatimChar"/>
        </w:rPr>
        <w:t xml:space="preserve">cor(metac2one1diff_Intercept,metac2one2diff_Intercept)       0.37      0.04</w:t>
      </w:r>
      <w:r>
        <w:br/>
      </w:r>
      <w:r>
        <w:rPr>
          <w:rStyle w:val="VerbatimChar"/>
        </w:rPr>
        <w:t xml:space="preserve">                                                         l-95% CI u-95% CI Rhat</w:t>
      </w:r>
      <w:r>
        <w:br/>
      </w:r>
      <w:r>
        <w:rPr>
          <w:rStyle w:val="VerbatimChar"/>
        </w:rPr>
        <w:t xml:space="preserve">sd(Intercept)                                                0.30     0.38 1.00</w:t>
      </w:r>
      <w:r>
        <w:br/>
      </w:r>
      <w:r>
        <w:rPr>
          <w:rStyle w:val="VerbatimChar"/>
        </w:rPr>
        <w:t xml:space="preserve">sd(dprime_Intercept)                                         0.00     0.04 1.00</w:t>
      </w:r>
      <w:r>
        <w:br/>
      </w:r>
      <w:r>
        <w:rPr>
          <w:rStyle w:val="VerbatimChar"/>
        </w:rPr>
        <w:t xml:space="preserve">sd(c_Intercept)                                              0.31     0.36 1.01</w:t>
      </w:r>
      <w:r>
        <w:br/>
      </w:r>
      <w:r>
        <w:rPr>
          <w:rStyle w:val="VerbatimChar"/>
        </w:rPr>
        <w:t xml:space="preserve">sd(metac2zero1diff_Intercept)                                0.71     0.83 1.01</w:t>
      </w:r>
      <w:r>
        <w:br/>
      </w:r>
      <w:r>
        <w:rPr>
          <w:rStyle w:val="VerbatimChar"/>
        </w:rPr>
        <w:t xml:space="preserve">sd(metac2zero2diff_Intercept)                                0.61     0.70 1.00</w:t>
      </w:r>
      <w:r>
        <w:br/>
      </w:r>
      <w:r>
        <w:rPr>
          <w:rStyle w:val="VerbatimChar"/>
        </w:rPr>
        <w:t xml:space="preserve">sd(metac2one1diff_Intercept)                                 0.68     0.79 1.00</w:t>
      </w:r>
      <w:r>
        <w:br/>
      </w:r>
      <w:r>
        <w:rPr>
          <w:rStyle w:val="VerbatimChar"/>
        </w:rPr>
        <w:t xml:space="preserve">sd(metac2one2diff_Intercept)                                 0.60     0.69 1.00</w:t>
      </w:r>
      <w:r>
        <w:br/>
      </w:r>
      <w:r>
        <w:rPr>
          <w:rStyle w:val="VerbatimChar"/>
        </w:rPr>
        <w:t xml:space="preserve">cor(metac2zero1diff_Intercept,metac2zero2diff_Intercept)     0.33     0.50 1.01</w:t>
      </w:r>
      <w:r>
        <w:br/>
      </w:r>
      <w:r>
        <w:rPr>
          <w:rStyle w:val="VerbatimChar"/>
        </w:rPr>
        <w:t xml:space="preserve">cor(metac2zero1diff_Intercept,metac2one1diff_Intercept)      0.90     0.94 1.00</w:t>
      </w:r>
      <w:r>
        <w:br/>
      </w:r>
      <w:r>
        <w:rPr>
          <w:rStyle w:val="VerbatimChar"/>
        </w:rPr>
        <w:t xml:space="preserve">cor(metac2zero2diff_Intercept,metac2one1diff_Intercept)      0.33     0.49 1.01</w:t>
      </w:r>
      <w:r>
        <w:br/>
      </w:r>
      <w:r>
        <w:rPr>
          <w:rStyle w:val="VerbatimChar"/>
        </w:rPr>
        <w:t xml:space="preserve">cor(metac2zero1diff_Intercept,metac2one2diff_Intercept)      0.27     0.44 1.01</w:t>
      </w:r>
      <w:r>
        <w:br/>
      </w:r>
      <w:r>
        <w:rPr>
          <w:rStyle w:val="VerbatimChar"/>
        </w:rPr>
        <w:t xml:space="preserve">cor(metac2zero2diff_Intercept,metac2one2diff_Intercept)      0.93     0.97 1.00</w:t>
      </w:r>
      <w:r>
        <w:br/>
      </w:r>
      <w:r>
        <w:rPr>
          <w:rStyle w:val="VerbatimChar"/>
        </w:rPr>
        <w:t xml:space="preserve">cor(metac2one1diff_Intercept,metac2one2diff_Intercept)       0.28     0.45 1.01</w:t>
      </w:r>
      <w:r>
        <w:br/>
      </w:r>
      <w:r>
        <w:rPr>
          <w:rStyle w:val="VerbatimChar"/>
        </w:rPr>
        <w:t xml:space="preserve">                                                         Bulk_ESS Tail_ESS</w:t>
      </w:r>
      <w:r>
        <w:br/>
      </w:r>
      <w:r>
        <w:rPr>
          <w:rStyle w:val="VerbatimChar"/>
        </w:rPr>
        <w:t xml:space="preserve">sd(Intercept)                                                2275     2981</w:t>
      </w:r>
      <w:r>
        <w:br/>
      </w:r>
      <w:r>
        <w:rPr>
          <w:rStyle w:val="VerbatimChar"/>
        </w:rPr>
        <w:t xml:space="preserve">sd(dprime_Intercept)                                         2472     2450</w:t>
      </w:r>
      <w:r>
        <w:br/>
      </w:r>
      <w:r>
        <w:rPr>
          <w:rStyle w:val="VerbatimChar"/>
        </w:rPr>
        <w:t xml:space="preserve">sd(c_Intercept)                                               932     1610</w:t>
      </w:r>
      <w:r>
        <w:br/>
      </w:r>
      <w:r>
        <w:rPr>
          <w:rStyle w:val="VerbatimChar"/>
        </w:rPr>
        <w:t xml:space="preserve">sd(metac2zero1diff_Intercept)                                 686     1071</w:t>
      </w:r>
      <w:r>
        <w:br/>
      </w:r>
      <w:r>
        <w:rPr>
          <w:rStyle w:val="VerbatimChar"/>
        </w:rPr>
        <w:t xml:space="preserve">sd(metac2zero2diff_Intercept)                                1048     1420</w:t>
      </w:r>
      <w:r>
        <w:br/>
      </w:r>
      <w:r>
        <w:rPr>
          <w:rStyle w:val="VerbatimChar"/>
        </w:rPr>
        <w:t xml:space="preserve">sd(metac2one1diff_Intercept)                                  830     1866</w:t>
      </w:r>
      <w:r>
        <w:br/>
      </w:r>
      <w:r>
        <w:rPr>
          <w:rStyle w:val="VerbatimChar"/>
        </w:rPr>
        <w:t xml:space="preserve">sd(metac2one2diff_Intercept)                                 1089     1437</w:t>
      </w:r>
      <w:r>
        <w:br/>
      </w:r>
      <w:r>
        <w:rPr>
          <w:rStyle w:val="VerbatimChar"/>
        </w:rPr>
        <w:t xml:space="preserve">cor(metac2zero1diff_Intercept,metac2zero2diff_Intercept)      628     1475</w:t>
      </w:r>
      <w:r>
        <w:br/>
      </w:r>
      <w:r>
        <w:rPr>
          <w:rStyle w:val="VerbatimChar"/>
        </w:rPr>
        <w:t xml:space="preserve">cor(metac2zero1diff_Intercept,metac2one1diff_Intercept)      1469     2224</w:t>
      </w:r>
      <w:r>
        <w:br/>
      </w:r>
      <w:r>
        <w:rPr>
          <w:rStyle w:val="VerbatimChar"/>
        </w:rPr>
        <w:t xml:space="preserve">cor(metac2zero2diff_Intercept,metac2one1diff_Intercept)       861     1960</w:t>
      </w:r>
      <w:r>
        <w:br/>
      </w:r>
      <w:r>
        <w:rPr>
          <w:rStyle w:val="VerbatimChar"/>
        </w:rPr>
        <w:t xml:space="preserve">cor(metac2zero1diff_Intercept,metac2one2diff_Intercept)       757     1468</w:t>
      </w:r>
      <w:r>
        <w:br/>
      </w:r>
      <w:r>
        <w:rPr>
          <w:rStyle w:val="VerbatimChar"/>
        </w:rPr>
        <w:t xml:space="preserve">cor(metac2zero2diff_Intercept,metac2one2diff_Intercept)      1402     2410</w:t>
      </w:r>
      <w:r>
        <w:br/>
      </w:r>
      <w:r>
        <w:rPr>
          <w:rStyle w:val="VerbatimChar"/>
        </w:rPr>
        <w:t xml:space="preserve">cor(metac2one1diff_Intercept,metac2one2diff_Intercept)        965     1947</w:t>
      </w:r>
      <w:r>
        <w:br/>
      </w:r>
      <w:r>
        <w:br/>
      </w:r>
      <w:r>
        <w:rPr>
          <w:rStyle w:val="VerbatimChar"/>
        </w:rPr>
        <w:t xml:space="preserve">Regression Coefficients:</w:t>
      </w:r>
      <w:r>
        <w:br/>
      </w:r>
      <w:r>
        <w:rPr>
          <w:rStyle w:val="VerbatimChar"/>
        </w:rPr>
        <w:t xml:space="preserve">                                   Estimate Est.Error l-95% CI u-95% CI Rhat</w:t>
      </w:r>
      <w:r>
        <w:br/>
      </w:r>
      <w:r>
        <w:rPr>
          <w:rStyle w:val="VerbatimChar"/>
        </w:rPr>
        <w:t xml:space="preserve">Intercept                             -0.20      0.02    -0.25    -0.15 1.00</w:t>
      </w:r>
      <w:r>
        <w:br/>
      </w:r>
      <w:r>
        <w:rPr>
          <w:rStyle w:val="VerbatimChar"/>
        </w:rPr>
        <w:t xml:space="preserve">dprime_Intercept                       1.31      0.01     1.29     1.33 1.00</w:t>
      </w:r>
      <w:r>
        <w:br/>
      </w:r>
      <w:r>
        <w:rPr>
          <w:rStyle w:val="VerbatimChar"/>
        </w:rPr>
        <w:t xml:space="preserve">c_Intercept                           -0.09      0.02    -0.12    -0.06 1.01</w:t>
      </w:r>
      <w:r>
        <w:br/>
      </w:r>
      <w:r>
        <w:rPr>
          <w:rStyle w:val="VerbatimChar"/>
        </w:rPr>
        <w:t xml:space="preserve">metac2zero1diff_Intercept             -0.80      0.04    -0.87    -0.73 1.00</w:t>
      </w:r>
      <w:r>
        <w:br/>
      </w:r>
      <w:r>
        <w:rPr>
          <w:rStyle w:val="VerbatimChar"/>
        </w:rPr>
        <w:t xml:space="preserve">metac2zero2diff_Intercept             -0.62      0.03    -0.68    -0.55 1.00</w:t>
      </w:r>
      <w:r>
        <w:br/>
      </w:r>
      <w:r>
        <w:rPr>
          <w:rStyle w:val="VerbatimChar"/>
        </w:rPr>
        <w:t xml:space="preserve">metac2one1diff_Intercept              -0.69      0.04    -0.76    -0.62 1.00</w:t>
      </w:r>
      <w:r>
        <w:br/>
      </w:r>
      <w:r>
        <w:rPr>
          <w:rStyle w:val="VerbatimChar"/>
        </w:rPr>
        <w:t xml:space="preserve">metac2one2diff_Intercept              -0.64      0.03    -0.70    -0.58 1.00</w:t>
      </w:r>
      <w:r>
        <w:br/>
      </w:r>
      <w:r>
        <w:rPr>
          <w:rStyle w:val="VerbatimChar"/>
        </w:rPr>
        <w:t xml:space="preserve">anxious_depression                     0.00      0.03    -0.05     0.05 1.00</w:t>
      </w:r>
      <w:r>
        <w:br/>
      </w:r>
      <w:r>
        <w:rPr>
          <w:rStyle w:val="VerbatimChar"/>
        </w:rPr>
        <w:t xml:space="preserve">compulsivity                          -0.01      0.02    -0.05     0.04 1.00</w:t>
      </w:r>
      <w:r>
        <w:br/>
      </w:r>
      <w:r>
        <w:rPr>
          <w:rStyle w:val="VerbatimChar"/>
        </w:rPr>
        <w:t xml:space="preserve">social_withdrawal                      0.03      0.02    -0.02     0.08 1.00</w:t>
      </w:r>
      <w:r>
        <w:br/>
      </w:r>
      <w:r>
        <w:rPr>
          <w:rStyle w:val="VerbatimChar"/>
        </w:rPr>
        <w:t xml:space="preserve">dprime_anxious_depression              0.00      0.01    -0.02     0.03 1.00</w:t>
      </w:r>
      <w:r>
        <w:br/>
      </w:r>
      <w:r>
        <w:rPr>
          <w:rStyle w:val="VerbatimChar"/>
        </w:rPr>
        <w:t xml:space="preserve">dprime_compulsivity                    0.01      0.01    -0.01     0.02 1.00</w:t>
      </w:r>
      <w:r>
        <w:br/>
      </w:r>
      <w:r>
        <w:rPr>
          <w:rStyle w:val="VerbatimChar"/>
        </w:rPr>
        <w:t xml:space="preserve">dprime_social_withdrawal               0.00      0.01    -0.02     0.02 1.00</w:t>
      </w:r>
      <w:r>
        <w:br/>
      </w:r>
      <w:r>
        <w:rPr>
          <w:rStyle w:val="VerbatimChar"/>
        </w:rPr>
        <w:t xml:space="preserve">c_anxious_depression                  -0.03      0.02    -0.06     0.00 1.00</w:t>
      </w:r>
    </w:p>
    <w:p>
      <w:pPr>
        <w:pStyle w:val="FirstParagraph"/>
      </w:pPr>
      <w:r>
        <w:t xml:space="preserve">As we can see from the model summary, the other mental health factors also appear only to be associated with the confidence criteria. As before, we can visualize group-level estimates of metacognitive bias at varying levels of each factor while holding the others constant:</w:t>
      </w:r>
    </w:p>
    <w:p>
      <w:pPr>
        <w:pStyle w:val="SourceCode"/>
      </w:pPr>
      <w:r>
        <w:rPr>
          <w:rStyle w:val="NormalTok"/>
        </w:rPr>
        <w:t xml:space="preserve">mh_grid </w:t>
      </w:r>
      <w:r>
        <w:rPr>
          <w:rStyle w:val="OtherTok"/>
        </w:rPr>
        <w:t xml:space="preserve">&lt;-</w:t>
      </w:r>
      <w:r>
        <w:rPr>
          <w:rStyle w:val="NormalTok"/>
        </w:rPr>
        <w:t xml:space="preserve"> </w:t>
      </w:r>
      <w:r>
        <w:rPr>
          <w:rStyle w:val="FunctionTok"/>
        </w:rPr>
        <w:t xml:space="preserve">seq</w:t>
      </w:r>
      <w:r>
        <w:rPr>
          <w:rStyle w:val="NormalTok"/>
        </w:rPr>
        <w:t xml:space="preserve">(</w:t>
      </w:r>
      <w:r>
        <w:rPr>
          <w:rStyle w:val="SpecialCharTok"/>
        </w:rPr>
        <w:t xml:space="preserve">-</w:t>
      </w:r>
      <w:r>
        <w:rPr>
          <w:rStyle w:val="DecValTok"/>
        </w:rPr>
        <w:t xml:space="preserve">2</w:t>
      </w:r>
      <w:r>
        <w:rPr>
          <w:rStyle w:val="NormalTok"/>
        </w:rPr>
        <w:t xml:space="preserve">, </w:t>
      </w:r>
      <w:r>
        <w:rPr>
          <w:rStyle w:val="FloatTok"/>
        </w:rPr>
        <w:t xml:space="preserve">4.75</w:t>
      </w:r>
      <w:r>
        <w:rPr>
          <w:rStyle w:val="NormalTok"/>
        </w:rPr>
        <w:t xml:space="preserve">, </w:t>
      </w:r>
      <w:r>
        <w:rPr>
          <w:rStyle w:val="AttributeTok"/>
        </w:rPr>
        <w:t xml:space="preserve">by =</w:t>
      </w:r>
      <w:r>
        <w:rPr>
          <w:rStyle w:val="NormalTok"/>
        </w:rPr>
        <w:t xml:space="preserve"> .</w:t>
      </w:r>
      <w:r>
        <w:rPr>
          <w:rStyle w:val="DecValTok"/>
        </w:rPr>
        <w:t xml:space="preserve">25</w:t>
      </w:r>
      <w:r>
        <w:rPr>
          <w:rStyle w:val="NormalTok"/>
        </w:rPr>
        <w:t xml:space="preserve">)</w:t>
      </w:r>
      <w:r>
        <w:br/>
      </w:r>
      <w:r>
        <w:rPr>
          <w:rStyle w:val="NormalTok"/>
        </w:rPr>
        <w:t xml:space="preserve">newdata.ad </w:t>
      </w:r>
      <w:r>
        <w:rPr>
          <w:rStyle w:val="OtherTok"/>
        </w:rPr>
        <w:t xml:space="preserve">&lt;-</w:t>
      </w:r>
      <w:r>
        <w:rPr>
          <w:rStyle w:val="NormalTok"/>
        </w:rPr>
        <w:t xml:space="preserve"> </w:t>
      </w:r>
      <w:r>
        <w:rPr>
          <w:rStyle w:val="FunctionTok"/>
        </w:rPr>
        <w:t xml:space="preserve">tibble</w:t>
      </w:r>
      <w:r>
        <w:rPr>
          <w:rStyle w:val="NormalTok"/>
        </w:rPr>
        <w:t xml:space="preserve">(</w:t>
      </w:r>
      <w:r>
        <w:br/>
      </w:r>
      <w:r>
        <w:rPr>
          <w:rStyle w:val="NormalTok"/>
        </w:rPr>
        <w:t xml:space="preserve">  </w:t>
      </w:r>
      <w:r>
        <w:rPr>
          <w:rStyle w:val="AttributeTok"/>
        </w:rPr>
        <w:t xml:space="preserve">anxious_depression =</w:t>
      </w:r>
      <w:r>
        <w:rPr>
          <w:rStyle w:val="NormalTok"/>
        </w:rPr>
        <w:t xml:space="preserve"> mh_grid, </w:t>
      </w:r>
      <w:r>
        <w:rPr>
          <w:rStyle w:val="AttributeTok"/>
        </w:rPr>
        <w:t xml:space="preserve">compulsivity =</w:t>
      </w:r>
      <w:r>
        <w:rPr>
          <w:rStyle w:val="NormalTok"/>
        </w:rPr>
        <w:t xml:space="preserve"> </w:t>
      </w:r>
      <w:r>
        <w:rPr>
          <w:rStyle w:val="DecValTok"/>
        </w:rPr>
        <w:t xml:space="preserve">0</w:t>
      </w:r>
      <w:r>
        <w:rPr>
          <w:rStyle w:val="NormalTok"/>
        </w:rPr>
        <w:t xml:space="preserve">, </w:t>
      </w:r>
      <w:r>
        <w:rPr>
          <w:rStyle w:val="AttributeTok"/>
        </w:rPr>
        <w:t xml:space="preserve">social_withdrawal =</w:t>
      </w:r>
      <w:r>
        <w:rPr>
          <w:rStyle w:val="NormalTok"/>
        </w:rPr>
        <w:t xml:space="preserve"> </w:t>
      </w:r>
      <w:r>
        <w:rPr>
          <w:rStyle w:val="DecValTok"/>
        </w:rPr>
        <w:t xml:space="preserve">0</w:t>
      </w:r>
      <w:r>
        <w:br/>
      </w:r>
      <w:r>
        <w:rPr>
          <w:rStyle w:val="NormalTok"/>
        </w:rPr>
        <w:t xml:space="preserve">)</w:t>
      </w:r>
      <w:r>
        <w:br/>
      </w:r>
      <w:r>
        <w:rPr>
          <w:rStyle w:val="NormalTok"/>
        </w:rPr>
        <w:t xml:space="preserve">newdata.co </w:t>
      </w:r>
      <w:r>
        <w:rPr>
          <w:rStyle w:val="OtherTok"/>
        </w:rPr>
        <w:t xml:space="preserve">&lt;-</w:t>
      </w:r>
      <w:r>
        <w:rPr>
          <w:rStyle w:val="NormalTok"/>
        </w:rPr>
        <w:t xml:space="preserve"> </w:t>
      </w:r>
      <w:r>
        <w:rPr>
          <w:rStyle w:val="FunctionTok"/>
        </w:rPr>
        <w:t xml:space="preserve">tibble</w:t>
      </w:r>
      <w:r>
        <w:rPr>
          <w:rStyle w:val="NormalTok"/>
        </w:rPr>
        <w:t xml:space="preserve">(</w:t>
      </w:r>
      <w:r>
        <w:br/>
      </w:r>
      <w:r>
        <w:rPr>
          <w:rStyle w:val="NormalTok"/>
        </w:rPr>
        <w:t xml:space="preserve">  </w:t>
      </w:r>
      <w:r>
        <w:rPr>
          <w:rStyle w:val="AttributeTok"/>
        </w:rPr>
        <w:t xml:space="preserve">anxious_depression =</w:t>
      </w:r>
      <w:r>
        <w:rPr>
          <w:rStyle w:val="NormalTok"/>
        </w:rPr>
        <w:t xml:space="preserve"> </w:t>
      </w:r>
      <w:r>
        <w:rPr>
          <w:rStyle w:val="DecValTok"/>
        </w:rPr>
        <w:t xml:space="preserve">0</w:t>
      </w:r>
      <w:r>
        <w:rPr>
          <w:rStyle w:val="NormalTok"/>
        </w:rPr>
        <w:t xml:space="preserve">, </w:t>
      </w:r>
      <w:r>
        <w:rPr>
          <w:rStyle w:val="AttributeTok"/>
        </w:rPr>
        <w:t xml:space="preserve">compulsivity =</w:t>
      </w:r>
      <w:r>
        <w:rPr>
          <w:rStyle w:val="NormalTok"/>
        </w:rPr>
        <w:t xml:space="preserve"> mh_grid, </w:t>
      </w:r>
      <w:r>
        <w:rPr>
          <w:rStyle w:val="AttributeTok"/>
        </w:rPr>
        <w:t xml:space="preserve">social_withdrawal =</w:t>
      </w:r>
      <w:r>
        <w:rPr>
          <w:rStyle w:val="NormalTok"/>
        </w:rPr>
        <w:t xml:space="preserve"> </w:t>
      </w:r>
      <w:r>
        <w:rPr>
          <w:rStyle w:val="DecValTok"/>
        </w:rPr>
        <w:t xml:space="preserve">0</w:t>
      </w:r>
      <w:r>
        <w:br/>
      </w:r>
      <w:r>
        <w:rPr>
          <w:rStyle w:val="NormalTok"/>
        </w:rPr>
        <w:t xml:space="preserve">)</w:t>
      </w:r>
      <w:r>
        <w:br/>
      </w:r>
      <w:r>
        <w:rPr>
          <w:rStyle w:val="NormalTok"/>
        </w:rPr>
        <w:t xml:space="preserve">newdata.sw </w:t>
      </w:r>
      <w:r>
        <w:rPr>
          <w:rStyle w:val="OtherTok"/>
        </w:rPr>
        <w:t xml:space="preserve">&lt;-</w:t>
      </w:r>
      <w:r>
        <w:rPr>
          <w:rStyle w:val="NormalTok"/>
        </w:rPr>
        <w:t xml:space="preserve"> </w:t>
      </w:r>
      <w:r>
        <w:rPr>
          <w:rStyle w:val="FunctionTok"/>
        </w:rPr>
        <w:t xml:space="preserve">tibble</w:t>
      </w:r>
      <w:r>
        <w:rPr>
          <w:rStyle w:val="NormalTok"/>
        </w:rPr>
        <w:t xml:space="preserve">(</w:t>
      </w:r>
      <w:r>
        <w:br/>
      </w:r>
      <w:r>
        <w:rPr>
          <w:rStyle w:val="NormalTok"/>
        </w:rPr>
        <w:t xml:space="preserve">  </w:t>
      </w:r>
      <w:r>
        <w:rPr>
          <w:rStyle w:val="AttributeTok"/>
        </w:rPr>
        <w:t xml:space="preserve">anxious_depression =</w:t>
      </w:r>
      <w:r>
        <w:rPr>
          <w:rStyle w:val="NormalTok"/>
        </w:rPr>
        <w:t xml:space="preserve"> </w:t>
      </w:r>
      <w:r>
        <w:rPr>
          <w:rStyle w:val="DecValTok"/>
        </w:rPr>
        <w:t xml:space="preserve">0</w:t>
      </w:r>
      <w:r>
        <w:rPr>
          <w:rStyle w:val="NormalTok"/>
        </w:rPr>
        <w:t xml:space="preserve">, </w:t>
      </w:r>
      <w:r>
        <w:rPr>
          <w:rStyle w:val="AttributeTok"/>
        </w:rPr>
        <w:t xml:space="preserve">compulsivity =</w:t>
      </w:r>
      <w:r>
        <w:rPr>
          <w:rStyle w:val="NormalTok"/>
        </w:rPr>
        <w:t xml:space="preserve"> </w:t>
      </w:r>
      <w:r>
        <w:rPr>
          <w:rStyle w:val="DecValTok"/>
        </w:rPr>
        <w:t xml:space="preserve">0</w:t>
      </w:r>
      <w:r>
        <w:rPr>
          <w:rStyle w:val="NormalTok"/>
        </w:rPr>
        <w:t xml:space="preserve">, </w:t>
      </w:r>
      <w:r>
        <w:rPr>
          <w:rStyle w:val="AttributeTok"/>
        </w:rPr>
        <w:t xml:space="preserve">social_withdrawal =</w:t>
      </w:r>
      <w:r>
        <w:rPr>
          <w:rStyle w:val="NormalTok"/>
        </w:rPr>
        <w:t xml:space="preserve"> mh_grid</w:t>
      </w:r>
      <w:r>
        <w:br/>
      </w:r>
      <w:r>
        <w:rPr>
          <w:rStyle w:val="NormalTok"/>
        </w:rPr>
        <w:t xml:space="preserve">)</w:t>
      </w:r>
      <w:r>
        <w:br/>
      </w:r>
      <w:r>
        <w:br/>
      </w:r>
      <w:r>
        <w:rPr>
          <w:rStyle w:val="NormalTok"/>
        </w:rPr>
        <w:t xml:space="preserve">draws.bias.ad </w:t>
      </w:r>
      <w:r>
        <w:rPr>
          <w:rStyle w:val="OtherTok"/>
        </w:rPr>
        <w:t xml:space="preserve">&lt;-</w:t>
      </w:r>
      <w:r>
        <w:rPr>
          <w:rStyle w:val="NormalTok"/>
        </w:rPr>
        <w:t xml:space="preserve"> </w:t>
      </w:r>
      <w:r>
        <w:rPr>
          <w:rStyle w:val="FunctionTok"/>
        </w:rPr>
        <w:t xml:space="preserve">metacognitive_bias_rvars</w:t>
      </w:r>
      <w:r>
        <w:rPr>
          <w:rStyle w:val="NormalTok"/>
        </w:rPr>
        <w:t xml:space="preserve">(</w:t>
      </w:r>
      <w:r>
        <w:br/>
      </w:r>
      <w:r>
        <w:rPr>
          <w:rStyle w:val="NormalTok"/>
        </w:rPr>
        <w:t xml:space="preserve">  m.full, newdata.ad,</w:t>
      </w:r>
      <w:r>
        <w:br/>
      </w:r>
      <w:r>
        <w:rPr>
          <w:rStyle w:val="NormalTok"/>
        </w:rPr>
        <w:t xml:space="preserve">  </w:t>
      </w:r>
      <w:r>
        <w:rPr>
          <w:rStyle w:val="AttributeTok"/>
        </w:rPr>
        <w:t xml:space="preserve">re_formula =</w:t>
      </w:r>
      <w:r>
        <w:rPr>
          <w:rStyle w:val="NormalTok"/>
        </w:rPr>
        <w:t xml:space="preserve"> </w:t>
      </w:r>
      <w:r>
        <w:rPr>
          <w:rStyle w:val="ConstantTok"/>
        </w:rPr>
        <w:t xml:space="preserve">NA</w:t>
      </w:r>
      <w:r>
        <w:rPr>
          <w:rStyle w:val="NormalTok"/>
        </w:rPr>
        <w:t xml:space="preserve">, </w:t>
      </w:r>
      <w:r>
        <w:rPr>
          <w:rStyle w:val="AttributeTok"/>
        </w:rPr>
        <w:t xml:space="preserve">by_response =</w:t>
      </w:r>
      <w:r>
        <w:rPr>
          <w:rStyle w:val="NormalTok"/>
        </w:rPr>
        <w:t xml:space="preserve"> </w:t>
      </w:r>
      <w:r>
        <w:rPr>
          <w:rStyle w:val="ConstantTok"/>
        </w:rPr>
        <w:t xml:space="preserve">FALSE</w:t>
      </w:r>
      <w:r>
        <w:br/>
      </w:r>
      <w:r>
        <w:rPr>
          <w:rStyle w:val="NormalTok"/>
        </w:rPr>
        <w:t xml:space="preserve">)</w:t>
      </w:r>
      <w:r>
        <w:br/>
      </w:r>
      <w:r>
        <w:rPr>
          <w:rStyle w:val="NormalTok"/>
        </w:rPr>
        <w:t xml:space="preserve">draws.bias.co </w:t>
      </w:r>
      <w:r>
        <w:rPr>
          <w:rStyle w:val="OtherTok"/>
        </w:rPr>
        <w:t xml:space="preserve">&lt;-</w:t>
      </w:r>
      <w:r>
        <w:rPr>
          <w:rStyle w:val="NormalTok"/>
        </w:rPr>
        <w:t xml:space="preserve"> </w:t>
      </w:r>
      <w:r>
        <w:rPr>
          <w:rStyle w:val="FunctionTok"/>
        </w:rPr>
        <w:t xml:space="preserve">metacognitive_bias_rvars</w:t>
      </w:r>
      <w:r>
        <w:rPr>
          <w:rStyle w:val="NormalTok"/>
        </w:rPr>
        <w:t xml:space="preserve">(</w:t>
      </w:r>
      <w:r>
        <w:br/>
      </w:r>
      <w:r>
        <w:rPr>
          <w:rStyle w:val="NormalTok"/>
        </w:rPr>
        <w:t xml:space="preserve">  m.full, newdata.co,</w:t>
      </w:r>
      <w:r>
        <w:br/>
      </w:r>
      <w:r>
        <w:rPr>
          <w:rStyle w:val="NormalTok"/>
        </w:rPr>
        <w:t xml:space="preserve">  </w:t>
      </w:r>
      <w:r>
        <w:rPr>
          <w:rStyle w:val="AttributeTok"/>
        </w:rPr>
        <w:t xml:space="preserve">re_formula =</w:t>
      </w:r>
      <w:r>
        <w:rPr>
          <w:rStyle w:val="NormalTok"/>
        </w:rPr>
        <w:t xml:space="preserve"> </w:t>
      </w:r>
      <w:r>
        <w:rPr>
          <w:rStyle w:val="ConstantTok"/>
        </w:rPr>
        <w:t xml:space="preserve">NA</w:t>
      </w:r>
      <w:r>
        <w:rPr>
          <w:rStyle w:val="NormalTok"/>
        </w:rPr>
        <w:t xml:space="preserve">, </w:t>
      </w:r>
      <w:r>
        <w:rPr>
          <w:rStyle w:val="AttributeTok"/>
        </w:rPr>
        <w:t xml:space="preserve">by_response =</w:t>
      </w:r>
      <w:r>
        <w:rPr>
          <w:rStyle w:val="NormalTok"/>
        </w:rPr>
        <w:t xml:space="preserve"> </w:t>
      </w:r>
      <w:r>
        <w:rPr>
          <w:rStyle w:val="ConstantTok"/>
        </w:rPr>
        <w:t xml:space="preserve">FALSE</w:t>
      </w:r>
      <w:r>
        <w:br/>
      </w:r>
      <w:r>
        <w:rPr>
          <w:rStyle w:val="NormalTok"/>
        </w:rPr>
        <w:t xml:space="preserve">)</w:t>
      </w:r>
      <w:r>
        <w:br/>
      </w:r>
      <w:r>
        <w:rPr>
          <w:rStyle w:val="NormalTok"/>
        </w:rPr>
        <w:t xml:space="preserve">draws.bias.sw </w:t>
      </w:r>
      <w:r>
        <w:rPr>
          <w:rStyle w:val="OtherTok"/>
        </w:rPr>
        <w:t xml:space="preserve">&lt;-</w:t>
      </w:r>
      <w:r>
        <w:rPr>
          <w:rStyle w:val="NormalTok"/>
        </w:rPr>
        <w:t xml:space="preserve"> </w:t>
      </w:r>
      <w:r>
        <w:rPr>
          <w:rStyle w:val="FunctionTok"/>
        </w:rPr>
        <w:t xml:space="preserve">metacognitive_bias_rvars</w:t>
      </w:r>
      <w:r>
        <w:rPr>
          <w:rStyle w:val="NormalTok"/>
        </w:rPr>
        <w:t xml:space="preserve">(</w:t>
      </w:r>
      <w:r>
        <w:br/>
      </w:r>
      <w:r>
        <w:rPr>
          <w:rStyle w:val="NormalTok"/>
        </w:rPr>
        <w:t xml:space="preserve">  m.full, newdata.sw,</w:t>
      </w:r>
      <w:r>
        <w:br/>
      </w:r>
      <w:r>
        <w:rPr>
          <w:rStyle w:val="NormalTok"/>
        </w:rPr>
        <w:t xml:space="preserve">  </w:t>
      </w:r>
      <w:r>
        <w:rPr>
          <w:rStyle w:val="AttributeTok"/>
        </w:rPr>
        <w:t xml:space="preserve">re_formula =</w:t>
      </w:r>
      <w:r>
        <w:rPr>
          <w:rStyle w:val="NormalTok"/>
        </w:rPr>
        <w:t xml:space="preserve"> </w:t>
      </w:r>
      <w:r>
        <w:rPr>
          <w:rStyle w:val="ConstantTok"/>
        </w:rPr>
        <w:t xml:space="preserve">NA</w:t>
      </w:r>
      <w:r>
        <w:rPr>
          <w:rStyle w:val="NormalTok"/>
        </w:rPr>
        <w:t xml:space="preserve">, </w:t>
      </w:r>
      <w:r>
        <w:rPr>
          <w:rStyle w:val="AttributeTok"/>
        </w:rPr>
        <w:t xml:space="preserve">by_response =</w:t>
      </w:r>
      <w:r>
        <w:rPr>
          <w:rStyle w:val="NormalTok"/>
        </w:rPr>
        <w:t xml:space="preserve"> </w:t>
      </w:r>
      <w:r>
        <w:rPr>
          <w:rStyle w:val="ConstantTok"/>
        </w:rPr>
        <w:t xml:space="preserve">FALSE</w:t>
      </w:r>
      <w:r>
        <w:br/>
      </w:r>
      <w:r>
        <w:rPr>
          <w:rStyle w:val="NormalTok"/>
        </w:rPr>
        <w:t xml:space="preserve">)</w:t>
      </w:r>
    </w:p>
    <w:bookmarkStart w:id="109" w:name="fig-bias-mh"/>
    <w:p>
      <w:pPr>
        <w:pStyle w:val="FigureTitle"/>
      </w:pPr>
      <w:r>
        <w:t xml:space="preserve">Figure 10</w:t>
      </w:r>
    </w:p>
    <w:p>
      <w:pPr>
        <w:pStyle w:val="Caption"/>
      </w:pPr>
      <w:r>
        <w:t xml:space="preserve">Model estimates of metacognitive bias (</w:t>
      </w:r>
      <m:oMath>
        <m:r>
          <m:rPr>
            <m:nor/>
            <m:sty m:val="p"/>
          </m:rPr>
          <m:t>meta-</m:t>
        </m:r>
        <m:r>
          <m:rPr>
            <m:sty m:val="p"/>
          </m:rPr>
          <m:t>Δ</m:t>
        </m:r>
      </m:oMath>
      <w:r>
        <w:t xml:space="preserve">) as a function of anxious-depression, compulsivity, and social withdrawal.</w:t>
      </w:r>
      <w:r>
        <w:t xml:space="preserve"> </w:t>
      </w:r>
      <w:r>
        <w:rPr>
          <w:i/>
          <w:iCs/>
        </w:rPr>
        <w:t xml:space="preserve">(A)</w:t>
      </w:r>
      <w:r>
        <w:t xml:space="preserve"> </w:t>
      </w:r>
      <w:r>
        <w:t xml:space="preserve">Posterior estimates of metacognitive bias at varying levels of anxious-depression.</w:t>
      </w:r>
      <w:r>
        <w:t xml:space="preserve"> </w:t>
      </w:r>
      <w:r>
        <w:rPr>
          <w:i/>
          <w:iCs/>
        </w:rPr>
        <w:t xml:space="preserve">(B)</w:t>
      </w:r>
      <w:r>
        <w:t xml:space="preserve"> </w:t>
      </w:r>
      <w:r>
        <w:t xml:space="preserve">Group-level prior (gray) and posterior (orange) distributions of the association between anxious-depression and metacognitive bias.</w:t>
      </w:r>
    </w:p>
    <w:p>
      <w:pPr>
        <w:pStyle w:val="FigureWithNote"/>
      </w:pPr>
      <w:r>
        <w:drawing>
          <wp:inline>
            <wp:extent cx="5943600" cy="4754880"/>
            <wp:effectExtent b="0" l="0" r="0" t="0"/>
            <wp:docPr descr="" title="" id="107" name="Picture"/>
            <a:graphic>
              <a:graphicData uri="http://schemas.openxmlformats.org/drawingml/2006/picture">
                <pic:pic>
                  <pic:nvPicPr>
                    <pic:cNvPr descr="index_files/figure-docx/fig-bias-mh-1.png" id="108" name="Picture"/>
                    <pic:cNvPicPr>
                      <a:picLocks noChangeArrowheads="1" noChangeAspect="1"/>
                    </pic:cNvPicPr>
                  </pic:nvPicPr>
                  <pic:blipFill>
                    <a:blip r:embed="rId106"/>
                    <a:stretch>
                      <a:fillRect/>
                    </a:stretch>
                  </pic:blipFill>
                  <pic:spPr bwMode="auto">
                    <a:xfrm>
                      <a:off x="0" y="0"/>
                      <a:ext cx="5943600" cy="4754880"/>
                    </a:xfrm>
                    <a:prstGeom prst="rect">
                      <a:avLst/>
                    </a:prstGeom>
                    <a:noFill/>
                    <a:ln w="9525">
                      <a:noFill/>
                      <a:headEnd/>
                      <a:tailEnd/>
                    </a:ln>
                  </pic:spPr>
                </pic:pic>
              </a:graphicData>
            </a:graphic>
          </wp:inline>
        </w:drawing>
      </w:r>
    </w:p>
    <w:bookmarkEnd w:id="109"/>
    <w:p>
      <w:pPr>
        <w:pStyle w:val="FigureNote"/>
      </w:pPr>
      <w:r>
        <w:rPr>
          <w:i/>
          <w:iCs/>
        </w:rPr>
        <w:t xml:space="preserve">Note</w:t>
      </w:r>
      <w:r>
        <w:t xml:space="preserve">. Lines indicate posterior medians and ribbons indicate 95% posterior quantiles. Points indicate posterior medians of participant-level estimates.</w:t>
      </w:r>
    </w:p>
    <w:p>
      <w:pPr>
        <w:pStyle w:val="BodyText"/>
      </w:pPr>
      <w:r>
        <w:t xml:space="preserve">Finally, once again we can compute Bayes Factors for these contrasts:</w:t>
      </w:r>
    </w:p>
    <w:p>
      <w:pPr>
        <w:pStyle w:val="SourceCode"/>
      </w:pPr>
      <w:r>
        <w:rPr>
          <w:rStyle w:val="NormalTok"/>
        </w:rPr>
        <w:t xml:space="preserve">contr.bias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BF =</w:t>
      </w:r>
      <w:r>
        <w:rPr>
          <w:rStyle w:val="NormalTok"/>
        </w:rPr>
        <w:t xml:space="preserve"> </w:t>
      </w:r>
      <w:r>
        <w:rPr>
          <w:rStyle w:val="FunctionTok"/>
        </w:rPr>
        <w:t xml:space="preserve">as.numeric</w:t>
      </w:r>
      <w:r>
        <w:rPr>
          <w:rStyle w:val="NormalTok"/>
        </w:rPr>
        <w:t xml:space="preserve">(</w:t>
      </w:r>
      <w:r>
        <w:rPr>
          <w:rStyle w:val="FunctionTok"/>
        </w:rPr>
        <w:t xml:space="preserve">bf_pointnull</w:t>
      </w:r>
      <w:r>
        <w:rPr>
          <w:rStyle w:val="NormalTok"/>
        </w:rPr>
        <w:t xml:space="preserve">(posterior, prior)))</w:t>
      </w:r>
    </w:p>
    <w:p>
      <w:pPr>
        <w:pStyle w:val="SourceCode"/>
      </w:pPr>
      <w:r>
        <w:rPr>
          <w:rStyle w:val="VerbatimChar"/>
        </w:rPr>
        <w:t xml:space="preserve"># A tibble: 3 × 4</w:t>
      </w:r>
      <w:r>
        <w:br/>
      </w:r>
      <w:r>
        <w:rPr>
          <w:rStyle w:val="VerbatimChar"/>
        </w:rPr>
        <w:t xml:space="preserve">  factor                   posterior         prior      BF</w:t>
      </w:r>
      <w:r>
        <w:br/>
      </w:r>
      <w:r>
        <w:rPr>
          <w:rStyle w:val="VerbatimChar"/>
        </w:rPr>
        <w:t xml:space="preserve">  &lt;chr&gt;                   &lt;rvar[1d]&gt;    &lt;rvar[1d]&gt;   &lt;dbl&gt;</w:t>
      </w:r>
      <w:r>
        <w:br/>
      </w:r>
      <w:r>
        <w:rPr>
          <w:rStyle w:val="VerbatimChar"/>
        </w:rPr>
        <w:t xml:space="preserve">1 Anxious-Depression   0.084 ± 0.027  0.028 ± 0.21  86.0  </w:t>
      </w:r>
      <w:r>
        <w:br/>
      </w:r>
      <w:r>
        <w:rPr>
          <w:rStyle w:val="VerbatimChar"/>
        </w:rPr>
        <w:t xml:space="preserve">2 Compulsivity        -0.088 ± 0.020  0.020 ± 0.21 728.   </w:t>
      </w:r>
      <w:r>
        <w:br/>
      </w:r>
      <w:r>
        <w:rPr>
          <w:rStyle w:val="VerbatimChar"/>
        </w:rPr>
        <w:t xml:space="preserve">3 Social Withdrawal    0.034 ± 0.024  0.032 ± 0.20   0.617</w:t>
      </w:r>
    </w:p>
    <w:p>
      <w:pPr>
        <w:pStyle w:val="FirstParagraph"/>
      </w:pPr>
      <w:r>
        <w:t xml:space="preserve">When including all three factors in the model, we now see very strong evidence for a decrease in confidence levels associated with anxious-depression and an increase in confidence levels associated with compulsivity. This analysis validates the original findings by</w:t>
      </w:r>
      <w:r>
        <w:t xml:space="preserve"> </w:t>
      </w:r>
      <w:r>
        <w:t xml:space="preserve">Rouault et al. (</w:t>
      </w:r>
      <w:hyperlink w:anchor="ref-rouault2018">
        <w:r>
          <w:rPr>
            <w:rStyle w:val="Hyperlink"/>
          </w:rPr>
          <w:t xml:space="preserve">2018</w:t>
        </w:r>
      </w:hyperlink>
      <w:r>
        <w:t xml:space="preserve">)</w:t>
      </w:r>
      <w:r>
        <w:t xml:space="preserve"> </w:t>
      </w:r>
      <w:r>
        <w:t xml:space="preserve">while removing potential confounds of Type I sensitivity, Type I response bias, and metacognitive sensitivity, as well as controlling for participant-level uncertainty.</w:t>
      </w:r>
    </w:p>
    <w:p>
      <w:pPr>
        <w:pStyle w:val="BodyText"/>
      </w:pPr>
      <w:r>
        <w:t xml:space="preserve">We end this section by pointing out that the analysis above is merely an example of the kinds of analyses one can perform with the</w:t>
      </w:r>
      <w:r>
        <w:t xml:space="preserve"> </w:t>
      </w:r>
      <w:r>
        <w:rPr>
          <w:rStyle w:val="VerbatimChar"/>
        </w:rPr>
        <w:t xml:space="preserve">hmetad</w:t>
      </w:r>
      <w:r>
        <w:t xml:space="preserve"> </w:t>
      </w:r>
      <w:r>
        <w:t xml:space="preserve">package: depending on one’s research question, experimental design, and preferences for statistical tests and software, one is able to perform a wide range of statistical analyses on the fitted model. For example, the interpretation of associations between metacognitive bias and mental health remains debated due to additional confounding of mental health factors with inattentiveness, response biases, and measurement uncertainty</w:t>
      </w:r>
      <w:r>
        <w:t xml:space="preserve"> </w:t>
      </w:r>
      <w:r>
        <w:t xml:space="preserve">(</w:t>
      </w:r>
      <w:hyperlink w:anchor="ref-gillan2026">
        <w:r>
          <w:rPr>
            <w:rStyle w:val="Hyperlink"/>
          </w:rPr>
          <w:t xml:space="preserve">Gillan et al., 2026</w:t>
        </w:r>
      </w:hyperlink>
      <w:r>
        <w:t xml:space="preserve">;</w:t>
      </w:r>
      <w:r>
        <w:t xml:space="preserve"> </w:t>
      </w:r>
      <w:hyperlink w:anchor="ref-sarna2026">
        <w:r>
          <w:rPr>
            <w:rStyle w:val="Hyperlink"/>
          </w:rPr>
          <w:t xml:space="preserve">Sarna et al., 2026a</w:t>
        </w:r>
      </w:hyperlink>
      <w:r>
        <w:t xml:space="preserve">,</w:t>
      </w:r>
      <w:r>
        <w:t xml:space="preserve"> </w:t>
      </w:r>
      <w:hyperlink w:anchor="ref-sarna2026b">
        <w:r>
          <w:rPr>
            <w:rStyle w:val="Hyperlink"/>
          </w:rPr>
          <w:t xml:space="preserve">2026b</w:t>
        </w:r>
      </w:hyperlink>
      <w:r>
        <w:t xml:space="preserve">)</w:t>
      </w:r>
      <w:r>
        <w:t xml:space="preserve">. By allowing flexible extensions of the</w:t>
      </w:r>
      <w:r>
        <w:t xml:space="preserve"> </w:t>
      </w:r>
      <m:oMath>
        <m:r>
          <m:rPr>
            <m:nor/>
            <m:sty m:val="p"/>
          </m:rPr>
          <m:t>meta-</m:t>
        </m:r>
        <m:sSup>
          <m:e>
            <m:r>
              <m:t>d</m:t>
            </m:r>
          </m:e>
          <m:sup>
            <m:r>
              <m:rPr>
                <m:sty m:val="p"/>
              </m:rPr>
              <m:t>′</m:t>
            </m:r>
          </m:sup>
        </m:sSup>
      </m:oMath>
      <w:r>
        <w:t xml:space="preserve"> </w:t>
      </w:r>
      <w:r>
        <w:t xml:space="preserve">model, the</w:t>
      </w:r>
      <w:r>
        <w:t xml:space="preserve"> </w:t>
      </w:r>
      <w:r>
        <w:rPr>
          <w:rStyle w:val="VerbatimChar"/>
        </w:rPr>
        <w:t xml:space="preserve">hmetad</w:t>
      </w:r>
      <w:r>
        <w:t xml:space="preserve"> </w:t>
      </w:r>
      <w:r>
        <w:t xml:space="preserve">package opens the possibility for future work to better eliminate these remaining confounds through directly modeling uncertainty in the latent factors in a structural equation modeling framework</w:t>
      </w:r>
      <w:r>
        <w:t xml:space="preserve"> </w:t>
      </w:r>
      <w:r>
        <w:t xml:space="preserve">(</w:t>
      </w:r>
      <w:hyperlink w:anchor="ref-westfall2016">
        <w:r>
          <w:rPr>
            <w:rStyle w:val="Hyperlink"/>
          </w:rPr>
          <w:t xml:space="preserve">Westfall &amp; Yarkoni, 2016</w:t>
        </w:r>
      </w:hyperlink>
      <w:r>
        <w:t xml:space="preserve">)</w:t>
      </w:r>
      <w:r>
        <w:t xml:space="preserve">.</w:t>
      </w:r>
    </w:p>
    <w:bookmarkEnd w:id="110"/>
    <w:bookmarkEnd w:id="111"/>
    <w:bookmarkStart w:id="112" w:name="discussion"/>
    <w:p>
      <w:pPr>
        <w:pStyle w:val="Heading1"/>
      </w:pPr>
      <w:r>
        <w:t xml:space="preserve">Discussion</w:t>
      </w:r>
    </w:p>
    <w:p>
      <w:pPr>
        <w:pStyle w:val="FirstParagraph"/>
      </w:pPr>
      <w:r>
        <w:t xml:space="preserve">Although the field has made significant progress, operationalization, measurement, and modeling are still key obstacles in metacognition research. The</w:t>
      </w:r>
      <w:r>
        <w:t xml:space="preserve"> </w:t>
      </w:r>
      <m:oMath>
        <m:r>
          <m:rPr>
            <m:nor/>
            <m:sty m:val="p"/>
          </m:rPr>
          <m:t>meta-</m:t>
        </m:r>
        <m:sSup>
          <m:e>
            <m:r>
              <m:t>d</m:t>
            </m:r>
          </m:e>
          <m:sup>
            <m:r>
              <m:rPr>
                <m:sty m:val="p"/>
              </m:rPr>
              <m:t>′</m:t>
            </m:r>
          </m:sup>
        </m:sSup>
      </m:oMath>
      <w:r>
        <w:t xml:space="preserve"> </w:t>
      </w:r>
      <w:r>
        <w:t xml:space="preserve">model addresses this challenge by independently estimating participants’ sensitivity to the stimulus when making a response and when rating confidence</w:t>
      </w:r>
      <w:r>
        <w:t xml:space="preserve"> </w:t>
      </w:r>
      <w:r>
        <w:t xml:space="preserve">(</w:t>
      </w:r>
      <w:hyperlink w:anchor="ref-maniscalco2012">
        <w:r>
          <w:rPr>
            <w:rStyle w:val="Hyperlink"/>
          </w:rPr>
          <w:t xml:space="preserve">Maniscalco &amp; Lau, 2012</w:t>
        </w:r>
      </w:hyperlink>
      <w:r>
        <w:t xml:space="preserve">,</w:t>
      </w:r>
      <w:r>
        <w:t xml:space="preserve"> </w:t>
      </w:r>
      <w:hyperlink w:anchor="ref-maniscalco2014">
        <w:r>
          <w:rPr>
            <w:rStyle w:val="Hyperlink"/>
          </w:rPr>
          <w:t xml:space="preserve">2014</w:t>
        </w:r>
      </w:hyperlink>
      <w:r>
        <w:t xml:space="preserve">)</w:t>
      </w:r>
      <w:r>
        <w:t xml:space="preserve">. However, despite advances in Bayesian estimation techniques</w:t>
      </w:r>
      <w:r>
        <w:t xml:space="preserve"> </w:t>
      </w:r>
      <w:r>
        <w:t xml:space="preserve">(</w:t>
      </w:r>
      <w:hyperlink w:anchor="ref-fleming2017">
        <w:r>
          <w:rPr>
            <w:rStyle w:val="Hyperlink"/>
          </w:rPr>
          <w:t xml:space="preserve">Fleming, 2017</w:t>
        </w:r>
      </w:hyperlink>
      <w:r>
        <w:t xml:space="preserve">)</w:t>
      </w:r>
      <w:r>
        <w:t xml:space="preserve">, the practical details of model fitting, visualization, and significance testing have continued to complicate analysis of confidence data.</w:t>
      </w:r>
    </w:p>
    <w:p>
      <w:pPr>
        <w:pStyle w:val="BodyText"/>
      </w:pPr>
      <w:r>
        <w:t xml:space="preserve">Here, we show how the</w:t>
      </w:r>
      <w:r>
        <w:t xml:space="preserve"> </w:t>
      </w:r>
      <w:r>
        <w:rPr>
          <w:rStyle w:val="VerbatimChar"/>
        </w:rPr>
        <w:t xml:space="preserve">hmetad</w:t>
      </w:r>
      <w:r>
        <w:t xml:space="preserve"> </w:t>
      </w:r>
      <w:r>
        <w:t xml:space="preserve">package allows users to fit the</w:t>
      </w:r>
      <w:r>
        <w:t xml:space="preserve"> </w:t>
      </w:r>
      <m:oMath>
        <m:r>
          <m:rPr>
            <m:nor/>
            <m:sty m:val="p"/>
          </m:rPr>
          <m:t>meta-</m:t>
        </m:r>
        <m:sSup>
          <m:e>
            <m:r>
              <m:t>d</m:t>
            </m:r>
          </m:e>
          <m:sup>
            <m:r>
              <m:rPr>
                <m:sty m:val="p"/>
              </m:rPr>
              <m:t>′</m:t>
            </m:r>
          </m:sup>
        </m:sSup>
      </m:oMath>
      <w:r>
        <w:t xml:space="preserve"> </w:t>
      </w:r>
      <w:r>
        <w:t xml:space="preserve">model in a flexible, reproducible, and principled manner. As an extension of the popular</w:t>
      </w:r>
      <w:r>
        <w:t xml:space="preserve"> </w:t>
      </w:r>
      <w:r>
        <w:rPr>
          <w:rStyle w:val="VerbatimChar"/>
        </w:rPr>
        <w:t xml:space="preserve">brms</w:t>
      </w:r>
      <w:r>
        <w:t xml:space="preserve"> </w:t>
      </w:r>
      <w:r>
        <w:t xml:space="preserve">package in R, the</w:t>
      </w:r>
      <w:r>
        <w:t xml:space="preserve"> </w:t>
      </w:r>
      <w:r>
        <w:rPr>
          <w:rStyle w:val="VerbatimChar"/>
        </w:rPr>
        <w:t xml:space="preserve">hmetad</w:t>
      </w:r>
      <w:r>
        <w:t xml:space="preserve"> </w:t>
      </w:r>
      <w:r>
        <w:t xml:space="preserve">package encourages users to set weakly informative priors, validate model fit, and interpret model estimates within a standard Bayesian workflow</w:t>
      </w:r>
      <w:r>
        <w:t xml:space="preserve"> </w:t>
      </w:r>
      <w:r>
        <w:t xml:space="preserve">(</w:t>
      </w:r>
      <w:hyperlink w:anchor="ref-gelman2026">
        <w:r>
          <w:rPr>
            <w:rStyle w:val="Hyperlink"/>
          </w:rPr>
          <w:t xml:space="preserve">Gelman et al.</w:t>
        </w:r>
        <w:r>
          <w:rPr>
            <w:rStyle w:val="Hyperlink"/>
          </w:rPr>
          <w:t xml:space="preserve">, 2026</w:t>
        </w:r>
      </w:hyperlink>
      <w:r>
        <w:t xml:space="preserve">)</w:t>
      </w:r>
      <w:r>
        <w:t xml:space="preserve">. Besides helping to overcome limitations in the statistical power and reliability of metacognitive efficiency and bias estimates</w:t>
      </w:r>
      <w:r>
        <w:t xml:space="preserve"> </w:t>
      </w:r>
      <w:r>
        <w:t xml:space="preserve">(</w:t>
      </w:r>
      <w:hyperlink w:anchor="ref-fleming2017">
        <w:r>
          <w:rPr>
            <w:rStyle w:val="Hyperlink"/>
          </w:rPr>
          <w:t xml:space="preserve">Fleming, 2017</w:t>
        </w:r>
      </w:hyperlink>
      <w:r>
        <w:t xml:space="preserve">;</w:t>
      </w:r>
      <w:r>
        <w:t xml:space="preserve"> </w:t>
      </w:r>
      <w:hyperlink w:anchor="ref-rahnev2025">
        <w:r>
          <w:rPr>
            <w:rStyle w:val="Hyperlink"/>
          </w:rPr>
          <w:t xml:space="preserve">Rahnev, 2025</w:t>
        </w:r>
      </w:hyperlink>
      <w:r>
        <w:t xml:space="preserve">)</w:t>
      </w:r>
      <w:r>
        <w:t xml:space="preserve">, this package expands the scope of the model to include trial-level effects, non-linear terms, crossed random effects, correlations among participant-level estimates of Type I and Type II parameters, joint modeling of confidence and other measures, mediation analyses, and many other designs. Although we have not discussed them here, it also enables a broader set of practices in statistical modeling including simulation-based calibration</w:t>
      </w:r>
      <w:r>
        <w:t xml:space="preserve"> </w:t>
      </w:r>
      <w:r>
        <w:t xml:space="preserve">(</w:t>
      </w:r>
      <w:hyperlink w:anchor="ref-modrak2025">
        <w:r>
          <w:rPr>
            <w:rStyle w:val="Hyperlink"/>
          </w:rPr>
          <w:t xml:space="preserve">Modrák et al., 2025</w:t>
        </w:r>
      </w:hyperlink>
      <w:r>
        <w:t xml:space="preserve">;</w:t>
      </w:r>
      <w:r>
        <w:t xml:space="preserve"> </w:t>
      </w:r>
      <w:hyperlink w:anchor="ref-talts2018">
        <w:r>
          <w:rPr>
            <w:rStyle w:val="Hyperlink"/>
          </w:rPr>
          <w:t xml:space="preserve">Talts et al., 2018</w:t>
        </w:r>
      </w:hyperlink>
      <w:r>
        <w:t xml:space="preserve">)</w:t>
      </w:r>
      <w:r>
        <w:t xml:space="preserve">, model comparison</w:t>
      </w:r>
      <w:r>
        <w:t xml:space="preserve"> </w:t>
      </w:r>
      <w:r>
        <w:t xml:space="preserve">(</w:t>
      </w:r>
      <w:hyperlink w:anchor="ref-sivula2025">
        <w:r>
          <w:rPr>
            <w:rStyle w:val="Hyperlink"/>
          </w:rPr>
          <w:t xml:space="preserve">Sivula et al., 2025</w:t>
        </w:r>
      </w:hyperlink>
      <w:r>
        <w:t xml:space="preserve">;</w:t>
      </w:r>
      <w:r>
        <w:t xml:space="preserve"> </w:t>
      </w:r>
      <w:hyperlink w:anchor="ref-vehtari2017">
        <w:r>
          <w:rPr>
            <w:rStyle w:val="Hyperlink"/>
          </w:rPr>
          <w:t xml:space="preserve">Vehtari et al., 2017</w:t>
        </w:r>
      </w:hyperlink>
      <w:r>
        <w:t xml:space="preserve">)</w:t>
      </w:r>
      <w:r>
        <w:t xml:space="preserve">, and prior sensitivity analysis</w:t>
      </w:r>
      <w:r>
        <w:t xml:space="preserve"> </w:t>
      </w:r>
      <w:r>
        <w:t xml:space="preserve">(</w:t>
      </w:r>
      <w:hyperlink w:anchor="ref-kallioinen2023">
        <w:r>
          <w:rPr>
            <w:rStyle w:val="Hyperlink"/>
          </w:rPr>
          <w:t xml:space="preserve">Kallioinen et al., 2023</w:t>
        </w:r>
      </w:hyperlink>
      <w:r>
        <w:t xml:space="preserve">,</w:t>
      </w:r>
      <w:r>
        <w:t xml:space="preserve"> </w:t>
      </w:r>
      <w:hyperlink w:anchor="ref-kallioinen2026">
        <w:r>
          <w:rPr>
            <w:rStyle w:val="Hyperlink"/>
          </w:rPr>
          <w:t xml:space="preserve">2026</w:t>
        </w:r>
      </w:hyperlink>
      <w:r>
        <w:t xml:space="preserve">)</w:t>
      </w:r>
      <w:r>
        <w:t xml:space="preserve">. Overall, the</w:t>
      </w:r>
      <w:r>
        <w:t xml:space="preserve"> </w:t>
      </w:r>
      <w:r>
        <w:rPr>
          <w:rStyle w:val="VerbatimChar"/>
        </w:rPr>
        <w:t xml:space="preserve">hmetad</w:t>
      </w:r>
      <w:r>
        <w:t xml:space="preserve"> </w:t>
      </w:r>
      <w:r>
        <w:t xml:space="preserve">supports analytical practices that address the growing complexity of research questions in metacognitive science.</w:t>
      </w:r>
    </w:p>
    <w:bookmarkEnd w:id="112"/>
    <w:bookmarkStart w:id="123" w:name="declarations"/>
    <w:p>
      <w:pPr>
        <w:pStyle w:val="Heading1"/>
      </w:pPr>
      <w:r>
        <w:t xml:space="preserve">Declarations</w:t>
      </w:r>
    </w:p>
    <w:bookmarkStart w:id="113" w:name="funding"/>
    <w:p>
      <w:pPr>
        <w:pStyle w:val="Heading2"/>
      </w:pPr>
      <w:r>
        <w:t xml:space="preserve">Funding</w:t>
      </w:r>
    </w:p>
    <w:p>
      <w:pPr>
        <w:pStyle w:val="FirstParagraph"/>
      </w:pPr>
      <w:r>
        <w:t xml:space="preserve">SMF is a CIFAR Fellow in the Brain, Mind and Consciousness Program, and funded by UK Research and Innovation (UKRI) under the UK government’s Horizon Europe funding guarantee (selected as ERC Consolidator, grant number 101043666).</w:t>
      </w:r>
    </w:p>
    <w:bookmarkEnd w:id="113"/>
    <w:bookmarkStart w:id="114" w:name="conflicts-of-interest"/>
    <w:p>
      <w:pPr>
        <w:pStyle w:val="Heading2"/>
      </w:pPr>
      <w:r>
        <w:t xml:space="preserve">Conflicts of interest</w:t>
      </w:r>
    </w:p>
    <w:p>
      <w:pPr>
        <w:pStyle w:val="FirstParagraph"/>
      </w:pPr>
      <w:r>
        <w:t xml:space="preserve">The authors have no conflicts of interest to declare.</w:t>
      </w:r>
    </w:p>
    <w:bookmarkEnd w:id="114"/>
    <w:bookmarkStart w:id="115" w:name="ethics-approval"/>
    <w:p>
      <w:pPr>
        <w:pStyle w:val="Heading2"/>
      </w:pPr>
      <w:r>
        <w:t xml:space="preserve">Ethics approval</w:t>
      </w:r>
    </w:p>
    <w:p>
      <w:pPr>
        <w:pStyle w:val="FirstParagraph"/>
      </w:pPr>
      <w:r>
        <w:t xml:space="preserve">N/A</w:t>
      </w:r>
    </w:p>
    <w:bookmarkEnd w:id="115"/>
    <w:bookmarkStart w:id="116" w:name="consent-to-participate"/>
    <w:p>
      <w:pPr>
        <w:pStyle w:val="Heading2"/>
      </w:pPr>
      <w:r>
        <w:t xml:space="preserve">Consent to participate</w:t>
      </w:r>
    </w:p>
    <w:p>
      <w:pPr>
        <w:pStyle w:val="FirstParagraph"/>
      </w:pPr>
      <w:r>
        <w:t xml:space="preserve">N/A</w:t>
      </w:r>
    </w:p>
    <w:bookmarkEnd w:id="116"/>
    <w:bookmarkStart w:id="117" w:name="consent-for-publication"/>
    <w:p>
      <w:pPr>
        <w:pStyle w:val="Heading2"/>
      </w:pPr>
      <w:r>
        <w:t xml:space="preserve">Consent for publication</w:t>
      </w:r>
    </w:p>
    <w:p>
      <w:pPr>
        <w:pStyle w:val="FirstParagraph"/>
      </w:pPr>
      <w:r>
        <w:t xml:space="preserve">N/A</w:t>
      </w:r>
    </w:p>
    <w:bookmarkEnd w:id="117"/>
    <w:bookmarkStart w:id="118" w:name="availability-of-data-and-materials"/>
    <w:p>
      <w:pPr>
        <w:pStyle w:val="Heading2"/>
      </w:pPr>
      <w:r>
        <w:t xml:space="preserve">Availability of data and materials</w:t>
      </w:r>
    </w:p>
    <w:p>
      <w:pPr>
        <w:pStyle w:val="FirstParagraph"/>
      </w:pPr>
      <w:r>
        <w:t xml:space="preserve">All data and materials are available at</w:t>
      </w:r>
      <w:r>
        <w:t xml:space="preserve"> </w:t>
      </w:r>
      <w:hyperlink r:id="rId34">
        <w:r>
          <w:rPr>
            <w:rStyle w:val="Hyperlink"/>
          </w:rPr>
          <w:t xml:space="preserve">https://github.com/metacoglab/hmetad_tutorial</w:t>
        </w:r>
      </w:hyperlink>
      <w:r>
        <w:t xml:space="preserve">.</w:t>
      </w:r>
    </w:p>
    <w:bookmarkEnd w:id="118"/>
    <w:bookmarkStart w:id="122" w:name="code-availability"/>
    <w:p>
      <w:pPr>
        <w:pStyle w:val="Heading2"/>
      </w:pPr>
      <w:r>
        <w:t xml:space="preserve">Code availability</w:t>
      </w:r>
    </w:p>
    <w:p>
      <w:pPr>
        <w:pStyle w:val="FirstParagraph"/>
      </w:pPr>
      <w:r>
        <w:t xml:space="preserve">All code for this manuscript is available at</w:t>
      </w:r>
      <w:r>
        <w:t xml:space="preserve"> </w:t>
      </w:r>
      <w:hyperlink r:id="rId119">
        <w:r>
          <w:rPr>
            <w:rStyle w:val="Hyperlink"/>
          </w:rPr>
          <w:t xml:space="preserve">https://metacoglab.github.io/hmetad_tutorial</w:t>
        </w:r>
      </w:hyperlink>
      <w:r>
        <w:t xml:space="preserve">. The</w:t>
      </w:r>
      <w:r>
        <w:t xml:space="preserve"> </w:t>
      </w:r>
      <w:r>
        <w:rPr>
          <w:rStyle w:val="VerbatimChar"/>
        </w:rPr>
        <w:t xml:space="preserve">hmetad</w:t>
      </w:r>
      <w:r>
        <w:t xml:space="preserve"> </w:t>
      </w:r>
      <w:r>
        <w:t xml:space="preserve">package is openly stored in the CRAN repository (</w:t>
      </w:r>
      <w:hyperlink r:id="rId120">
        <w:r>
          <w:rPr>
            <w:rStyle w:val="Hyperlink"/>
          </w:rPr>
          <w:t xml:space="preserve">https://cran.r-project.org/package=hmetad</w:t>
        </w:r>
      </w:hyperlink>
      <w:r>
        <w:t xml:space="preserve">) and on GitHub (</w:t>
      </w:r>
      <w:hyperlink r:id="rId121">
        <w:r>
          <w:rPr>
            <w:rStyle w:val="Hyperlink"/>
          </w:rPr>
          <w:t xml:space="preserve">https://github.com/metacoglab/hmetad</w:t>
        </w:r>
      </w:hyperlink>
      <w:r>
        <w:t xml:space="preserve">).</w:t>
      </w:r>
    </w:p>
    <w:bookmarkEnd w:id="122"/>
    <w:bookmarkEnd w:id="123"/>
    <w:bookmarkStart w:id="208" w:name="references"/>
    <w:p>
      <w:pPr>
        <w:pStyle w:val="Heading1"/>
      </w:pPr>
      <w:r>
        <w:t xml:space="preserve">References</w:t>
      </w:r>
    </w:p>
    <w:bookmarkStart w:id="207" w:name="refs"/>
    <w:bookmarkStart w:id="125" w:name="ref-barr2013"/>
    <w:p>
      <w:pPr>
        <w:pStyle w:val="Bibliography"/>
      </w:pPr>
      <w:r>
        <w:t xml:space="preserve">Barr, D. J. (2013). Random effects structure for testing interactions in linear mixed-effects models.</w:t>
      </w:r>
      <w:r>
        <w:t xml:space="preserve"> </w:t>
      </w:r>
      <w:r>
        <w:rPr>
          <w:i/>
          <w:iCs/>
        </w:rPr>
        <w:t xml:space="preserve">Frontiers in Psychology</w:t>
      </w:r>
      <w:r>
        <w:t xml:space="preserve">,</w:t>
      </w:r>
      <w:r>
        <w:t xml:space="preserve"> </w:t>
      </w:r>
      <w:r>
        <w:rPr>
          <w:i/>
          <w:iCs/>
        </w:rPr>
        <w:t xml:space="preserve">4</w:t>
      </w:r>
      <w:r>
        <w:t xml:space="preserve">.</w:t>
      </w:r>
      <w:r>
        <w:t xml:space="preserve"> </w:t>
      </w:r>
      <w:hyperlink r:id="rId124">
        <w:r>
          <w:rPr>
            <w:rStyle w:val="Hyperlink"/>
          </w:rPr>
          <w:t xml:space="preserve">https://doi.org/10.3389/fpsyg.2013.00328</w:t>
        </w:r>
      </w:hyperlink>
    </w:p>
    <w:bookmarkEnd w:id="125"/>
    <w:bookmarkStart w:id="127" w:name="ref-betancourt2017"/>
    <w:p>
      <w:pPr>
        <w:pStyle w:val="Bibliography"/>
      </w:pPr>
      <w:r>
        <w:t xml:space="preserve">Betancourt, M. (2017).</w:t>
      </w:r>
      <w:r>
        <w:t xml:space="preserve"> </w:t>
      </w:r>
      <w:r>
        <w:rPr>
          <w:i/>
          <w:iCs/>
        </w:rPr>
        <w:t xml:space="preserve">A conceptual introduction to hamiltonian monte carlo</w:t>
      </w:r>
      <w:r>
        <w:t xml:space="preserve">. arXiv.</w:t>
      </w:r>
      <w:r>
        <w:t xml:space="preserve"> </w:t>
      </w:r>
      <w:hyperlink r:id="rId126">
        <w:r>
          <w:rPr>
            <w:rStyle w:val="Hyperlink"/>
          </w:rPr>
          <w:t xml:space="preserve">https://doi.org/10.48550/ARXIV.1701.02434</w:t>
        </w:r>
      </w:hyperlink>
    </w:p>
    <w:bookmarkEnd w:id="127"/>
    <w:bookmarkStart w:id="129" w:name="ref-buerkner2017"/>
    <w:p>
      <w:pPr>
        <w:pStyle w:val="Bibliography"/>
      </w:pPr>
      <w:r>
        <w:t xml:space="preserve">Bürkner, P.-C. (2017). Brms : An r package for bayesian multilevel models using stan.</w:t>
      </w:r>
      <w:r>
        <w:t xml:space="preserve"> </w:t>
      </w:r>
      <w:r>
        <w:rPr>
          <w:i/>
          <w:iCs/>
        </w:rPr>
        <w:t xml:space="preserve">Journal of Statistical Software</w:t>
      </w:r>
      <w:r>
        <w:t xml:space="preserve">,</w:t>
      </w:r>
      <w:r>
        <w:t xml:space="preserve"> </w:t>
      </w:r>
      <w:r>
        <w:rPr>
          <w:i/>
          <w:iCs/>
        </w:rPr>
        <w:t xml:space="preserve">80</w:t>
      </w:r>
      <w:r>
        <w:t xml:space="preserve">(1).</w:t>
      </w:r>
      <w:r>
        <w:t xml:space="preserve"> </w:t>
      </w:r>
      <w:hyperlink r:id="rId128">
        <w:r>
          <w:rPr>
            <w:rStyle w:val="Hyperlink"/>
          </w:rPr>
          <w:t xml:space="preserve">https://doi.org/10.18637/jss.v080.i01</w:t>
        </w:r>
      </w:hyperlink>
    </w:p>
    <w:bookmarkEnd w:id="129"/>
    <w:bookmarkStart w:id="131" w:name="ref-buerkner2018"/>
    <w:p>
      <w:pPr>
        <w:pStyle w:val="Bibliography"/>
      </w:pPr>
      <w:r>
        <w:t xml:space="preserve">Bürkner, P.-C. (2018). Advanced bayesian multilevel modeling with the r package brms.</w:t>
      </w:r>
      <w:r>
        <w:t xml:space="preserve"> </w:t>
      </w:r>
      <w:r>
        <w:rPr>
          <w:i/>
          <w:iCs/>
        </w:rPr>
        <w:t xml:space="preserve">The R Journal</w:t>
      </w:r>
      <w:r>
        <w:t xml:space="preserve">,</w:t>
      </w:r>
      <w:r>
        <w:t xml:space="preserve"> </w:t>
      </w:r>
      <w:r>
        <w:rPr>
          <w:i/>
          <w:iCs/>
        </w:rPr>
        <w:t xml:space="preserve">10</w:t>
      </w:r>
      <w:r>
        <w:t xml:space="preserve">(1), 395.</w:t>
      </w:r>
      <w:r>
        <w:t xml:space="preserve"> </w:t>
      </w:r>
      <w:hyperlink r:id="rId130">
        <w:r>
          <w:rPr>
            <w:rStyle w:val="Hyperlink"/>
          </w:rPr>
          <w:t xml:space="preserve">https://doi.org/10.32614/rj-2018-017</w:t>
        </w:r>
      </w:hyperlink>
    </w:p>
    <w:bookmarkEnd w:id="131"/>
    <w:bookmarkStart w:id="133" w:name="ref-buerkner2020"/>
    <w:p>
      <w:pPr>
        <w:pStyle w:val="Bibliography"/>
      </w:pPr>
      <w:r>
        <w:t xml:space="preserve">Bürkner, P.-C., &amp; Charpentier, E. (2020). Modelling monotonic effects of ordinal predictors in bayesian regression models.</w:t>
      </w:r>
      <w:r>
        <w:t xml:space="preserve"> </w:t>
      </w:r>
      <w:r>
        <w:rPr>
          <w:i/>
          <w:iCs/>
        </w:rPr>
        <w:t xml:space="preserve">British Journal of Mathematical and Statistical Psychology</w:t>
      </w:r>
      <w:r>
        <w:t xml:space="preserve">,</w:t>
      </w:r>
      <w:r>
        <w:t xml:space="preserve"> </w:t>
      </w:r>
      <w:r>
        <w:rPr>
          <w:i/>
          <w:iCs/>
        </w:rPr>
        <w:t xml:space="preserve">73</w:t>
      </w:r>
      <w:r>
        <w:t xml:space="preserve">(3), 420–451.</w:t>
      </w:r>
      <w:r>
        <w:t xml:space="preserve"> </w:t>
      </w:r>
      <w:hyperlink r:id="rId132">
        <w:r>
          <w:rPr>
            <w:rStyle w:val="Hyperlink"/>
          </w:rPr>
          <w:t xml:space="preserve">https://doi.org/10.1111/bmsp.12195</w:t>
        </w:r>
      </w:hyperlink>
    </w:p>
    <w:bookmarkEnd w:id="133"/>
    <w:bookmarkStart w:id="135" w:name="ref-clarke1959"/>
    <w:p>
      <w:pPr>
        <w:pStyle w:val="Bibliography"/>
      </w:pPr>
      <w:r>
        <w:t xml:space="preserve">Clarke, F. R., Birdsall, T. G., &amp; Tanner, W. P. (1959). Two types of ROC curves and definitions of parameters.</w:t>
      </w:r>
      <w:r>
        <w:t xml:space="preserve"> </w:t>
      </w:r>
      <w:r>
        <w:rPr>
          <w:i/>
          <w:iCs/>
        </w:rPr>
        <w:t xml:space="preserve">The Journal of the Acoustical Society of America</w:t>
      </w:r>
      <w:r>
        <w:t xml:space="preserve">,</w:t>
      </w:r>
      <w:r>
        <w:t xml:space="preserve"> </w:t>
      </w:r>
      <w:r>
        <w:rPr>
          <w:i/>
          <w:iCs/>
        </w:rPr>
        <w:t xml:space="preserve">31</w:t>
      </w:r>
      <w:r>
        <w:t xml:space="preserve">(5), 629–630.</w:t>
      </w:r>
      <w:r>
        <w:t xml:space="preserve"> </w:t>
      </w:r>
      <w:hyperlink r:id="rId134">
        <w:r>
          <w:rPr>
            <w:rStyle w:val="Hyperlink"/>
          </w:rPr>
          <w:t xml:space="preserve">https://doi.org/10.1121/1.1907764</w:t>
        </w:r>
      </w:hyperlink>
    </w:p>
    <w:bookmarkEnd w:id="135"/>
    <w:bookmarkStart w:id="137" w:name="ref-fleming2017"/>
    <w:p>
      <w:pPr>
        <w:pStyle w:val="Bibliography"/>
      </w:pPr>
      <w:r>
        <w:t xml:space="preserve">Fleming, S. M. (2017). HMeta-d: Hierarchical bayesian estimation of metacognitive efficiency from confidence ratings.</w:t>
      </w:r>
      <w:r>
        <w:t xml:space="preserve"> </w:t>
      </w:r>
      <w:r>
        <w:rPr>
          <w:i/>
          <w:iCs/>
        </w:rPr>
        <w:t xml:space="preserve">Neuroscience of Consciousness</w:t>
      </w:r>
      <w:r>
        <w:t xml:space="preserve">,</w:t>
      </w:r>
      <w:r>
        <w:t xml:space="preserve"> </w:t>
      </w:r>
      <w:r>
        <w:rPr>
          <w:i/>
          <w:iCs/>
        </w:rPr>
        <w:t xml:space="preserve">2017</w:t>
      </w:r>
      <w:r>
        <w:t xml:space="preserve">(1).</w:t>
      </w:r>
      <w:r>
        <w:t xml:space="preserve"> </w:t>
      </w:r>
      <w:hyperlink r:id="rId136">
        <w:r>
          <w:rPr>
            <w:rStyle w:val="Hyperlink"/>
          </w:rPr>
          <w:t xml:space="preserve">https://doi.org/10.1093/nc/nix007</w:t>
        </w:r>
      </w:hyperlink>
    </w:p>
    <w:bookmarkEnd w:id="137"/>
    <w:bookmarkStart w:id="139" w:name="ref-fleming2024"/>
    <w:p>
      <w:pPr>
        <w:pStyle w:val="Bibliography"/>
      </w:pPr>
      <w:r>
        <w:t xml:space="preserve">Fleming, S. M. (2024). Metacognition and confidence: A review and synthesis.</w:t>
      </w:r>
      <w:r>
        <w:t xml:space="preserve"> </w:t>
      </w:r>
      <w:r>
        <w:rPr>
          <w:i/>
          <w:iCs/>
        </w:rPr>
        <w:t xml:space="preserve">Annual Review of Psychology</w:t>
      </w:r>
      <w:r>
        <w:t xml:space="preserve">,</w:t>
      </w:r>
      <w:r>
        <w:t xml:space="preserve"> </w:t>
      </w:r>
      <w:r>
        <w:rPr>
          <w:i/>
          <w:iCs/>
        </w:rPr>
        <w:t xml:space="preserve">75</w:t>
      </w:r>
      <w:r>
        <w:t xml:space="preserve">(1), 241–268.</w:t>
      </w:r>
      <w:r>
        <w:t xml:space="preserve"> </w:t>
      </w:r>
      <w:hyperlink r:id="rId138">
        <w:r>
          <w:rPr>
            <w:rStyle w:val="Hyperlink"/>
          </w:rPr>
          <w:t xml:space="preserve">https://doi.org/10.1146/annurev-psych-022423-032425</w:t>
        </w:r>
      </w:hyperlink>
    </w:p>
    <w:bookmarkEnd w:id="139"/>
    <w:bookmarkStart w:id="141" w:name="ref-fleming2014"/>
    <w:p>
      <w:pPr>
        <w:pStyle w:val="Bibliography"/>
      </w:pPr>
      <w:r>
        <w:t xml:space="preserve">Fleming, S. M., &amp; Lau, H. C. (2014). How to measure metacognition.</w:t>
      </w:r>
      <w:r>
        <w:t xml:space="preserve"> </w:t>
      </w:r>
      <w:r>
        <w:rPr>
          <w:i/>
          <w:iCs/>
        </w:rPr>
        <w:t xml:space="preserve">Frontiers in Human Neuroscience</w:t>
      </w:r>
      <w:r>
        <w:t xml:space="preserve">,</w:t>
      </w:r>
      <w:r>
        <w:t xml:space="preserve"> </w:t>
      </w:r>
      <w:r>
        <w:rPr>
          <w:i/>
          <w:iCs/>
        </w:rPr>
        <w:t xml:space="preserve">8</w:t>
      </w:r>
      <w:r>
        <w:t xml:space="preserve">.</w:t>
      </w:r>
      <w:r>
        <w:t xml:space="preserve"> </w:t>
      </w:r>
      <w:hyperlink r:id="rId140">
        <w:r>
          <w:rPr>
            <w:rStyle w:val="Hyperlink"/>
          </w:rPr>
          <w:t xml:space="preserve">https://doi.org/10.3389/fnhum.2014.00443</w:t>
        </w:r>
      </w:hyperlink>
    </w:p>
    <w:bookmarkEnd w:id="141"/>
    <w:bookmarkStart w:id="143" w:name="ref-gabry2019"/>
    <w:p>
      <w:pPr>
        <w:pStyle w:val="Bibliography"/>
      </w:pPr>
      <w:r>
        <w:t xml:space="preserve">Gabry, J., Simpson, D., Vehtari, A., Betancourt, M., &amp; Gelman, A. (2019). Visualization in bayesian workflow.</w:t>
      </w:r>
      <w:r>
        <w:t xml:space="preserve"> </w:t>
      </w:r>
      <w:r>
        <w:rPr>
          <w:i/>
          <w:iCs/>
        </w:rPr>
        <w:t xml:space="preserve">Journal of the Royal Statistical Society Series A: Statistics in Society</w:t>
      </w:r>
      <w:r>
        <w:t xml:space="preserve">,</w:t>
      </w:r>
      <w:r>
        <w:t xml:space="preserve"> </w:t>
      </w:r>
      <w:r>
        <w:rPr>
          <w:i/>
          <w:iCs/>
        </w:rPr>
        <w:t xml:space="preserve">182</w:t>
      </w:r>
      <w:r>
        <w:t xml:space="preserve">(2), 389–402.</w:t>
      </w:r>
      <w:r>
        <w:t xml:space="preserve"> </w:t>
      </w:r>
      <w:hyperlink r:id="rId142">
        <w:r>
          <w:rPr>
            <w:rStyle w:val="Hyperlink"/>
          </w:rPr>
          <w:t xml:space="preserve">https://doi.org/10.1111/rssa.12378</w:t>
        </w:r>
      </w:hyperlink>
    </w:p>
    <w:bookmarkEnd w:id="143"/>
    <w:bookmarkStart w:id="144" w:name="ref-gelman2026"/>
    <w:p>
      <w:pPr>
        <w:pStyle w:val="Bibliography"/>
      </w:pPr>
      <w:r>
        <w:t xml:space="preserve">Gelman, A., Vehtari, A., McElreath, R., Simpson, D., Margossian, C. C., Yao, Y., Kennedy, L., Gabry, J., Bürkner, P.-C., Modrák, M., et al.</w:t>
      </w:r>
      <w:r>
        <w:t xml:space="preserve"> (2026).</w:t>
      </w:r>
      <w:r>
        <w:t xml:space="preserve"> </w:t>
      </w:r>
      <w:r>
        <w:rPr>
          <w:i/>
          <w:iCs/>
        </w:rPr>
        <w:t xml:space="preserve">Bayesian workflow</w:t>
      </w:r>
      <w:r>
        <w:t xml:space="preserve">. CRC Press.</w:t>
      </w:r>
    </w:p>
    <w:bookmarkEnd w:id="144"/>
    <w:bookmarkStart w:id="146" w:name="ref-gillan2026"/>
    <w:p>
      <w:pPr>
        <w:pStyle w:val="Bibliography"/>
      </w:pPr>
      <w:r>
        <w:t xml:space="preserve">Gillan, C. M., Fleming, S. M., Rouault, M., &amp; Seow, T. X. F. (2026). Disentangling biases in responding from substantive effects in computational psychiatry.</w:t>
      </w:r>
      <w:r>
        <w:t xml:space="preserve"> </w:t>
      </w:r>
      <w:r>
        <w:rPr>
          <w:i/>
          <w:iCs/>
        </w:rPr>
        <w:t xml:space="preserve">Proceedings of the National Academy of Sciences</w:t>
      </w:r>
      <w:r>
        <w:t xml:space="preserve">,</w:t>
      </w:r>
      <w:r>
        <w:t xml:space="preserve"> </w:t>
      </w:r>
      <w:r>
        <w:rPr>
          <w:i/>
          <w:iCs/>
        </w:rPr>
        <w:t xml:space="preserve">123</w:t>
      </w:r>
      <w:r>
        <w:t xml:space="preserve">(43).</w:t>
      </w:r>
      <w:r>
        <w:t xml:space="preserve"> </w:t>
      </w:r>
      <w:hyperlink r:id="rId145">
        <w:r>
          <w:rPr>
            <w:rStyle w:val="Hyperlink"/>
          </w:rPr>
          <w:t xml:space="preserve">https://doi.org/10.1073/pnas.2624329123</w:t>
        </w:r>
      </w:hyperlink>
    </w:p>
    <w:bookmarkEnd w:id="146"/>
    <w:bookmarkStart w:id="147" w:name="ref-green1966"/>
    <w:p>
      <w:pPr>
        <w:pStyle w:val="Bibliography"/>
      </w:pPr>
      <w:r>
        <w:t xml:space="preserve">Green, D. Marvin., &amp; Swets, J. A. (1966).</w:t>
      </w:r>
      <w:r>
        <w:t xml:space="preserve"> </w:t>
      </w:r>
      <w:r>
        <w:rPr>
          <w:i/>
          <w:iCs/>
        </w:rPr>
        <w:t xml:space="preserve">Signal detection theory and psychophysics</w:t>
      </w:r>
      <w:r>
        <w:t xml:space="preserve">. Wiley.</w:t>
      </w:r>
    </w:p>
    <w:bookmarkEnd w:id="147"/>
    <w:bookmarkStart w:id="149" w:name="ref-guggenmos2021"/>
    <w:p>
      <w:pPr>
        <w:pStyle w:val="Bibliography"/>
      </w:pPr>
      <w:r>
        <w:t xml:space="preserve">Guggenmos, M. (2021). Measuring metacognitive performance: Type 1 performance dependence and test-retest reliability.</w:t>
      </w:r>
      <w:r>
        <w:t xml:space="preserve"> </w:t>
      </w:r>
      <w:r>
        <w:rPr>
          <w:i/>
          <w:iCs/>
        </w:rPr>
        <w:t xml:space="preserve">Neuroscience of Consciousness</w:t>
      </w:r>
      <w:r>
        <w:t xml:space="preserve">,</w:t>
      </w:r>
      <w:r>
        <w:t xml:space="preserve"> </w:t>
      </w:r>
      <w:r>
        <w:rPr>
          <w:i/>
          <w:iCs/>
        </w:rPr>
        <w:t xml:space="preserve">2021</w:t>
      </w:r>
      <w:r>
        <w:t xml:space="preserve">(1).</w:t>
      </w:r>
      <w:r>
        <w:t xml:space="preserve"> </w:t>
      </w:r>
      <w:hyperlink r:id="rId148">
        <w:r>
          <w:rPr>
            <w:rStyle w:val="Hyperlink"/>
          </w:rPr>
          <w:t xml:space="preserve">https://doi.org/10.1093/nc/niab040</w:t>
        </w:r>
      </w:hyperlink>
    </w:p>
    <w:bookmarkEnd w:id="149"/>
    <w:bookmarkStart w:id="151" w:name="ref-hautus1995"/>
    <w:p>
      <w:pPr>
        <w:pStyle w:val="Bibliography"/>
      </w:pPr>
      <w:r>
        <w:t xml:space="preserve">Hautus, M. J. (1995). Corrections for extreme proportions and their biasing effects on estimated values of d′.</w:t>
      </w:r>
      <w:r>
        <w:t xml:space="preserve"> </w:t>
      </w:r>
      <w:r>
        <w:rPr>
          <w:i/>
          <w:iCs/>
        </w:rPr>
        <w:t xml:space="preserve">Behavior Research Methods, Instruments, &amp; Computers</w:t>
      </w:r>
      <w:r>
        <w:t xml:space="preserve">,</w:t>
      </w:r>
      <w:r>
        <w:t xml:space="preserve"> </w:t>
      </w:r>
      <w:r>
        <w:rPr>
          <w:i/>
          <w:iCs/>
        </w:rPr>
        <w:t xml:space="preserve">27</w:t>
      </w:r>
      <w:r>
        <w:t xml:space="preserve">(1), 46–51.</w:t>
      </w:r>
      <w:r>
        <w:t xml:space="preserve"> </w:t>
      </w:r>
      <w:hyperlink r:id="rId150">
        <w:r>
          <w:rPr>
            <w:rStyle w:val="Hyperlink"/>
          </w:rPr>
          <w:t xml:space="preserve">https://doi.org/10.3758/bf03203619</w:t>
        </w:r>
      </w:hyperlink>
    </w:p>
    <w:bookmarkEnd w:id="151"/>
    <w:bookmarkStart w:id="153" w:name="ref-kallioinen2023"/>
    <w:p>
      <w:pPr>
        <w:pStyle w:val="Bibliography"/>
      </w:pPr>
      <w:r>
        <w:t xml:space="preserve">Kallioinen, N., Paananen, T., Bürkner, P.-C., &amp; Vehtari, A. (2023). Detecting and diagnosing prior and likelihood sensitivity with power-scaling.</w:t>
      </w:r>
      <w:r>
        <w:t xml:space="preserve"> </w:t>
      </w:r>
      <w:r>
        <w:rPr>
          <w:i/>
          <w:iCs/>
        </w:rPr>
        <w:t xml:space="preserve">Statistics and Computing</w:t>
      </w:r>
      <w:r>
        <w:t xml:space="preserve">,</w:t>
      </w:r>
      <w:r>
        <w:t xml:space="preserve"> </w:t>
      </w:r>
      <w:r>
        <w:rPr>
          <w:i/>
          <w:iCs/>
        </w:rPr>
        <w:t xml:space="preserve">34</w:t>
      </w:r>
      <w:r>
        <w:t xml:space="preserve">(1).</w:t>
      </w:r>
      <w:r>
        <w:t xml:space="preserve"> </w:t>
      </w:r>
      <w:hyperlink r:id="rId152">
        <w:r>
          <w:rPr>
            <w:rStyle w:val="Hyperlink"/>
          </w:rPr>
          <w:t xml:space="preserve">https://doi.org/10.1007/s11222-023-10366-5</w:t>
        </w:r>
      </w:hyperlink>
    </w:p>
    <w:bookmarkEnd w:id="153"/>
    <w:bookmarkStart w:id="155" w:name="ref-kallioinen2026"/>
    <w:p>
      <w:pPr>
        <w:pStyle w:val="Bibliography"/>
      </w:pPr>
      <w:r>
        <w:t xml:space="preserve">Kallioinen, N., Paananen, T., Bürkner, P.-C., &amp; Vehtari, A. (2026). Priorsense: Efficient prior and likelihood sensitivity checks for bayesian models in r.</w:t>
      </w:r>
      <w:r>
        <w:t xml:space="preserve"> </w:t>
      </w:r>
      <w:r>
        <w:rPr>
          <w:i/>
          <w:iCs/>
        </w:rPr>
        <w:t xml:space="preserve">Journal of Open Source Software</w:t>
      </w:r>
      <w:r>
        <w:t xml:space="preserve">,</w:t>
      </w:r>
      <w:r>
        <w:t xml:space="preserve"> </w:t>
      </w:r>
      <w:r>
        <w:rPr>
          <w:i/>
          <w:iCs/>
        </w:rPr>
        <w:t xml:space="preserve">11</w:t>
      </w:r>
      <w:r>
        <w:t xml:space="preserve">(123), 11036.</w:t>
      </w:r>
      <w:r>
        <w:t xml:space="preserve"> </w:t>
      </w:r>
      <w:hyperlink r:id="rId154">
        <w:r>
          <w:rPr>
            <w:rStyle w:val="Hyperlink"/>
          </w:rPr>
          <w:t xml:space="preserve">https://doi.org/10.21105/joss.11036</w:t>
        </w:r>
      </w:hyperlink>
    </w:p>
    <w:bookmarkEnd w:id="155"/>
    <w:bookmarkStart w:id="157" w:name="ref-tidybayes"/>
    <w:p>
      <w:pPr>
        <w:pStyle w:val="Bibliography"/>
      </w:pPr>
      <w:r>
        <w:t xml:space="preserve">Kay, M. (2024).</w:t>
      </w:r>
      <w:r>
        <w:t xml:space="preserve"> </w:t>
      </w:r>
      <w:r>
        <w:rPr>
          <w:i/>
          <w:iCs/>
        </w:rPr>
        <w:t xml:space="preserve">Tidybayes: Tidy data and geoms for bayesian models</w:t>
      </w:r>
      <w:r>
        <w:t xml:space="preserve">. Zenodo.</w:t>
      </w:r>
      <w:r>
        <w:t xml:space="preserve"> </w:t>
      </w:r>
      <w:hyperlink r:id="rId156">
        <w:r>
          <w:rPr>
            <w:rStyle w:val="Hyperlink"/>
          </w:rPr>
          <w:t xml:space="preserve">https://doi.org/10.5281/ZENODO.1308151</w:t>
        </w:r>
      </w:hyperlink>
    </w:p>
    <w:bookmarkEnd w:id="157"/>
    <w:bookmarkStart w:id="159" w:name="ref-kruschke2018"/>
    <w:p>
      <w:pPr>
        <w:pStyle w:val="Bibliography"/>
      </w:pPr>
      <w:r>
        <w:t xml:space="preserve">Kruschke, J. K., &amp; Liddell, T. M. (2018). Bayesian data analysis for newcomers.</w:t>
      </w:r>
      <w:r>
        <w:t xml:space="preserve"> </w:t>
      </w:r>
      <w:r>
        <w:rPr>
          <w:i/>
          <w:iCs/>
        </w:rPr>
        <w:t xml:space="preserve">Psychonomic Bulletin &amp; Review</w:t>
      </w:r>
      <w:r>
        <w:t xml:space="preserve">,</w:t>
      </w:r>
      <w:r>
        <w:t xml:space="preserve"> </w:t>
      </w:r>
      <w:r>
        <w:rPr>
          <w:i/>
          <w:iCs/>
        </w:rPr>
        <w:t xml:space="preserve">25</w:t>
      </w:r>
      <w:r>
        <w:t xml:space="preserve">(1), 155–177.</w:t>
      </w:r>
      <w:r>
        <w:t xml:space="preserve"> </w:t>
      </w:r>
      <w:hyperlink r:id="rId158">
        <w:r>
          <w:rPr>
            <w:rStyle w:val="Hyperlink"/>
          </w:rPr>
          <w:t xml:space="preserve">https://doi.org/10.3758/s13423-017-1272-1</w:t>
        </w:r>
      </w:hyperlink>
    </w:p>
    <w:bookmarkEnd w:id="159"/>
    <w:bookmarkStart w:id="161" w:name="ref-makowski2019"/>
    <w:p>
      <w:pPr>
        <w:pStyle w:val="Bibliography"/>
      </w:pPr>
      <w:r>
        <w:t xml:space="preserve">Makowski, D., Ben-Shachar, M. S., Chen, S. H. A., &amp; Lüdecke, D. (2019). Indices of effect existence and significance in the bayesian framework.</w:t>
      </w:r>
      <w:r>
        <w:t xml:space="preserve"> </w:t>
      </w:r>
      <w:r>
        <w:rPr>
          <w:i/>
          <w:iCs/>
        </w:rPr>
        <w:t xml:space="preserve">Frontiers in Psychology</w:t>
      </w:r>
      <w:r>
        <w:t xml:space="preserve">,</w:t>
      </w:r>
      <w:r>
        <w:t xml:space="preserve"> </w:t>
      </w:r>
      <w:r>
        <w:rPr>
          <w:i/>
          <w:iCs/>
        </w:rPr>
        <w:t xml:space="preserve">10</w:t>
      </w:r>
      <w:r>
        <w:t xml:space="preserve">.</w:t>
      </w:r>
      <w:r>
        <w:t xml:space="preserve"> </w:t>
      </w:r>
      <w:hyperlink r:id="rId160">
        <w:r>
          <w:rPr>
            <w:rStyle w:val="Hyperlink"/>
          </w:rPr>
          <w:t xml:space="preserve">https://doi.org/10.3389/fpsyg.2019.02767</w:t>
        </w:r>
      </w:hyperlink>
    </w:p>
    <w:bookmarkEnd w:id="161"/>
    <w:bookmarkStart w:id="163" w:name="ref-bayestestR"/>
    <w:p>
      <w:pPr>
        <w:pStyle w:val="Bibliography"/>
      </w:pPr>
      <w:r>
        <w:t xml:space="preserve">Makowski, D., Ben-Shachar, M., &amp; Lüdecke, D. (2019). bayestestR: Describing effects and their uncertainty, existence and significance within the bayesian framework.</w:t>
      </w:r>
      <w:r>
        <w:t xml:space="preserve"> </w:t>
      </w:r>
      <w:r>
        <w:rPr>
          <w:i/>
          <w:iCs/>
        </w:rPr>
        <w:t xml:space="preserve">Journal of Open Source Software</w:t>
      </w:r>
      <w:r>
        <w:t xml:space="preserve">,</w:t>
      </w:r>
      <w:r>
        <w:t xml:space="preserve"> </w:t>
      </w:r>
      <w:r>
        <w:rPr>
          <w:i/>
          <w:iCs/>
        </w:rPr>
        <w:t xml:space="preserve">4</w:t>
      </w:r>
      <w:r>
        <w:t xml:space="preserve">(40), 1541.</w:t>
      </w:r>
      <w:r>
        <w:t xml:space="preserve"> </w:t>
      </w:r>
      <w:hyperlink r:id="rId162">
        <w:r>
          <w:rPr>
            <w:rStyle w:val="Hyperlink"/>
          </w:rPr>
          <w:t xml:space="preserve">https://doi.org/10.21105/joss.01541</w:t>
        </w:r>
      </w:hyperlink>
    </w:p>
    <w:bookmarkEnd w:id="163"/>
    <w:bookmarkStart w:id="165" w:name="ref-maniscalco2025"/>
    <w:p>
      <w:pPr>
        <w:pStyle w:val="Bibliography"/>
      </w:pPr>
      <w:r>
        <w:t xml:space="preserve">Maniscalco, B., Charles, L., &amp; Peters, M. A. K. (2025). Optimal metacognitive decision strategies in signal detection theory.</w:t>
      </w:r>
      <w:r>
        <w:t xml:space="preserve"> </w:t>
      </w:r>
      <w:r>
        <w:rPr>
          <w:i/>
          <w:iCs/>
        </w:rPr>
        <w:t xml:space="preserve">Psychonomic Bulletin &amp; Review</w:t>
      </w:r>
      <w:r>
        <w:t xml:space="preserve">,</w:t>
      </w:r>
      <w:r>
        <w:t xml:space="preserve"> </w:t>
      </w:r>
      <w:r>
        <w:rPr>
          <w:i/>
          <w:iCs/>
        </w:rPr>
        <w:t xml:space="preserve">32</w:t>
      </w:r>
      <w:r>
        <w:t xml:space="preserve">(3), 1041–1069.</w:t>
      </w:r>
      <w:r>
        <w:t xml:space="preserve"> </w:t>
      </w:r>
      <w:hyperlink r:id="rId164">
        <w:r>
          <w:rPr>
            <w:rStyle w:val="Hyperlink"/>
          </w:rPr>
          <w:t xml:space="preserve">https://doi.org/10.3758/s13423-024-02510-7</w:t>
        </w:r>
      </w:hyperlink>
    </w:p>
    <w:bookmarkEnd w:id="165"/>
    <w:bookmarkStart w:id="167" w:name="ref-maniscalco2012"/>
    <w:p>
      <w:pPr>
        <w:pStyle w:val="Bibliography"/>
      </w:pPr>
      <w:r>
        <w:t xml:space="preserve">Maniscalco, B., &amp; Lau, H. (2012). A signal detection theoretic approach for estimating metacognitive sensitivity from confidence ratings.</w:t>
      </w:r>
      <w:r>
        <w:t xml:space="preserve"> </w:t>
      </w:r>
      <w:r>
        <w:rPr>
          <w:i/>
          <w:iCs/>
        </w:rPr>
        <w:t xml:space="preserve">Consciousness and Cognition</w:t>
      </w:r>
      <w:r>
        <w:t xml:space="preserve">,</w:t>
      </w:r>
      <w:r>
        <w:t xml:space="preserve"> </w:t>
      </w:r>
      <w:r>
        <w:rPr>
          <w:i/>
          <w:iCs/>
        </w:rPr>
        <w:t xml:space="preserve">21</w:t>
      </w:r>
      <w:r>
        <w:t xml:space="preserve">(1), 422–430.</w:t>
      </w:r>
      <w:r>
        <w:t xml:space="preserve"> </w:t>
      </w:r>
      <w:hyperlink r:id="rId166">
        <w:r>
          <w:rPr>
            <w:rStyle w:val="Hyperlink"/>
          </w:rPr>
          <w:t xml:space="preserve">https://doi.org/10.1016/j.concog.2011.09.021</w:t>
        </w:r>
      </w:hyperlink>
    </w:p>
    <w:bookmarkEnd w:id="167"/>
    <w:bookmarkStart w:id="169" w:name="ref-maniscalco2014"/>
    <w:p>
      <w:pPr>
        <w:pStyle w:val="Bibliography"/>
      </w:pPr>
      <w:r>
        <w:t xml:space="preserve">Maniscalco, B., &amp; Lau, H. (2014). Signal detection theory analysis of type 1 and type 2 data: Meta-d′, response-specific meta-d′, and the unequal variance SDT model. In</w:t>
      </w:r>
      <w:r>
        <w:t xml:space="preserve"> </w:t>
      </w:r>
      <w:r>
        <w:rPr>
          <w:i/>
          <w:iCs/>
        </w:rPr>
        <w:t xml:space="preserve">The cognitive neuroscience of metacognition</w:t>
      </w:r>
      <w:r>
        <w:t xml:space="preserve"> </w:t>
      </w:r>
      <w:r>
        <w:t xml:space="preserve">(pp. 25–66). Springer Berlin Heidelberg.</w:t>
      </w:r>
      <w:r>
        <w:t xml:space="preserve"> </w:t>
      </w:r>
      <w:hyperlink r:id="rId168">
        <w:r>
          <w:rPr>
            <w:rStyle w:val="Hyperlink"/>
          </w:rPr>
          <w:t xml:space="preserve">https://doi.org/10.1007/978-3-642-45190-4_3</w:t>
        </w:r>
      </w:hyperlink>
    </w:p>
    <w:bookmarkEnd w:id="169"/>
    <w:bookmarkStart w:id="170" w:name="ref-mcelreath2016"/>
    <w:p>
      <w:pPr>
        <w:pStyle w:val="Bibliography"/>
      </w:pPr>
      <w:r>
        <w:t xml:space="preserve">McElreath, R. et al.</w:t>
      </w:r>
      <w:r>
        <w:t xml:space="preserve"> (2016).</w:t>
      </w:r>
      <w:r>
        <w:t xml:space="preserve"> </w:t>
      </w:r>
      <w:r>
        <w:rPr>
          <w:i/>
          <w:iCs/>
        </w:rPr>
        <w:t xml:space="preserve">Statistical rethinking: A bayesian course with examples in r and stan</w:t>
      </w:r>
      <w:r>
        <w:t xml:space="preserve"> </w:t>
      </w:r>
      <w:r>
        <w:t xml:space="preserve">(Vol. 122). CRC press Boca Raton, FL.</w:t>
      </w:r>
    </w:p>
    <w:bookmarkEnd w:id="170"/>
    <w:bookmarkStart w:id="172" w:name="ref-modrak2025"/>
    <w:p>
      <w:pPr>
        <w:pStyle w:val="Bibliography"/>
      </w:pPr>
      <w:r>
        <w:t xml:space="preserve">Modrák, M., Moon, A. H., Kim, S., Bürkner, P., Huurre, N., Faltejsková, K., Gelman, A., &amp; Vehtari, A. (2025). Simulation-based calibration checking for bayesian computation: The choice of test quantities shapes sensitivity.</w:t>
      </w:r>
      <w:r>
        <w:t xml:space="preserve"> </w:t>
      </w:r>
      <w:r>
        <w:rPr>
          <w:i/>
          <w:iCs/>
        </w:rPr>
        <w:t xml:space="preserve">Bayesian Analysis</w:t>
      </w:r>
      <w:r>
        <w:t xml:space="preserve">,</w:t>
      </w:r>
      <w:r>
        <w:t xml:space="preserve"> </w:t>
      </w:r>
      <w:r>
        <w:rPr>
          <w:i/>
          <w:iCs/>
        </w:rPr>
        <w:t xml:space="preserve">20</w:t>
      </w:r>
      <w:r>
        <w:t xml:space="preserve">(2).</w:t>
      </w:r>
      <w:r>
        <w:t xml:space="preserve"> </w:t>
      </w:r>
      <w:hyperlink r:id="rId171">
        <w:r>
          <w:rPr>
            <w:rStyle w:val="Hyperlink"/>
          </w:rPr>
          <w:t xml:space="preserve">https://doi.org/10.1214/23-ba1404</w:t>
        </w:r>
      </w:hyperlink>
    </w:p>
    <w:bookmarkEnd w:id="172"/>
    <w:bookmarkStart w:id="174" w:name="ref-moutoussis2018"/>
    <w:p>
      <w:pPr>
        <w:pStyle w:val="Bibliography"/>
      </w:pPr>
      <w:r>
        <w:t xml:space="preserve">Moutoussis, M., Hopkins, A. K., &amp; Dolan, R. J. (2018). Hypotheses about the relationship of cognition with psychopathology should be tested by embedding them into empirical priors.</w:t>
      </w:r>
      <w:r>
        <w:t xml:space="preserve"> </w:t>
      </w:r>
      <w:r>
        <w:rPr>
          <w:i/>
          <w:iCs/>
        </w:rPr>
        <w:t xml:space="preserve">Frontiers in Psychology</w:t>
      </w:r>
      <w:r>
        <w:t xml:space="preserve">,</w:t>
      </w:r>
      <w:r>
        <w:t xml:space="preserve"> </w:t>
      </w:r>
      <w:r>
        <w:rPr>
          <w:i/>
          <w:iCs/>
        </w:rPr>
        <w:t xml:space="preserve">9</w:t>
      </w:r>
      <w:r>
        <w:t xml:space="preserve">.</w:t>
      </w:r>
      <w:r>
        <w:t xml:space="preserve"> </w:t>
      </w:r>
      <w:hyperlink r:id="rId173">
        <w:r>
          <w:rPr>
            <w:rStyle w:val="Hyperlink"/>
          </w:rPr>
          <w:t xml:space="preserve">https://doi.org/10.3389/fpsyg.2018.02504</w:t>
        </w:r>
      </w:hyperlink>
    </w:p>
    <w:bookmarkEnd w:id="174"/>
    <w:bookmarkStart w:id="175" w:name="ref-oneill2026"/>
    <w:p>
      <w:pPr>
        <w:pStyle w:val="Bibliography"/>
      </w:pPr>
      <w:r>
        <w:t xml:space="preserve">O’Neill, K., Zhan, T., &amp; Fleming, S. M. (2026). A measure of metacognitive bias you can be confident in.</w:t>
      </w:r>
      <w:r>
        <w:t xml:space="preserve"> </w:t>
      </w:r>
      <w:r>
        <w:rPr>
          <w:i/>
          <w:iCs/>
        </w:rPr>
        <w:t xml:space="preserve">Proceedings of the Annual Meeting of the Cognitive Science Society</w:t>
      </w:r>
      <w:r>
        <w:t xml:space="preserve">,</w:t>
      </w:r>
      <w:r>
        <w:t xml:space="preserve"> </w:t>
      </w:r>
      <w:r>
        <w:rPr>
          <w:i/>
          <w:iCs/>
        </w:rPr>
        <w:t xml:space="preserve">48</w:t>
      </w:r>
      <w:r>
        <w:t xml:space="preserve">.</w:t>
      </w:r>
    </w:p>
    <w:bookmarkEnd w:id="175"/>
    <w:bookmarkStart w:id="177" w:name="ref-peters2024"/>
    <w:p>
      <w:pPr>
        <w:pStyle w:val="Bibliography"/>
      </w:pPr>
      <w:r>
        <w:t xml:space="preserve">Peters, M. A. K. (2024). Introspective psychophysics for the study of subjective experience.</w:t>
      </w:r>
      <w:r>
        <w:t xml:space="preserve"> </w:t>
      </w:r>
      <w:r>
        <w:rPr>
          <w:i/>
          <w:iCs/>
        </w:rPr>
        <w:t xml:space="preserve">Cerebral Cortex</w:t>
      </w:r>
      <w:r>
        <w:t xml:space="preserve">,</w:t>
      </w:r>
      <w:r>
        <w:t xml:space="preserve"> </w:t>
      </w:r>
      <w:r>
        <w:rPr>
          <w:i/>
          <w:iCs/>
        </w:rPr>
        <w:t xml:space="preserve">35</w:t>
      </w:r>
      <w:r>
        <w:t xml:space="preserve">(1), 49–57.</w:t>
      </w:r>
      <w:r>
        <w:t xml:space="preserve"> </w:t>
      </w:r>
      <w:hyperlink r:id="rId176">
        <w:r>
          <w:rPr>
            <w:rStyle w:val="Hyperlink"/>
          </w:rPr>
          <w:t xml:space="preserve">https://doi.org/10.1093/cercor/bhae455</w:t>
        </w:r>
      </w:hyperlink>
    </w:p>
    <w:bookmarkEnd w:id="177"/>
    <w:bookmarkStart w:id="179" w:name="ref-rahnev2021"/>
    <w:p>
      <w:pPr>
        <w:pStyle w:val="Bibliography"/>
      </w:pPr>
      <w:r>
        <w:t xml:space="preserve">Rahnev, D. (2021). Visual metacognition: Measures, models, and neural correlates.</w:t>
      </w:r>
      <w:r>
        <w:t xml:space="preserve"> </w:t>
      </w:r>
      <w:r>
        <w:rPr>
          <w:i/>
          <w:iCs/>
        </w:rPr>
        <w:t xml:space="preserve">American Psychologist</w:t>
      </w:r>
      <w:r>
        <w:t xml:space="preserve">,</w:t>
      </w:r>
      <w:r>
        <w:t xml:space="preserve"> </w:t>
      </w:r>
      <w:r>
        <w:rPr>
          <w:i/>
          <w:iCs/>
        </w:rPr>
        <w:t xml:space="preserve">76</w:t>
      </w:r>
      <w:r>
        <w:t xml:space="preserve">(9), 1445–1453.</w:t>
      </w:r>
      <w:r>
        <w:t xml:space="preserve"> </w:t>
      </w:r>
      <w:hyperlink r:id="rId178">
        <w:r>
          <w:rPr>
            <w:rStyle w:val="Hyperlink"/>
          </w:rPr>
          <w:t xml:space="preserve">https://doi.org/10.1037/amp0000937</w:t>
        </w:r>
      </w:hyperlink>
    </w:p>
    <w:bookmarkEnd w:id="179"/>
    <w:bookmarkStart w:id="181" w:name="ref-rahnev2025"/>
    <w:p>
      <w:pPr>
        <w:pStyle w:val="Bibliography"/>
      </w:pPr>
      <w:r>
        <w:t xml:space="preserve">Rahnev, D. (2025). A comprehensive assessment of current methods for measuring metacognition.</w:t>
      </w:r>
      <w:r>
        <w:t xml:space="preserve"> </w:t>
      </w:r>
      <w:r>
        <w:rPr>
          <w:i/>
          <w:iCs/>
        </w:rPr>
        <w:t xml:space="preserve">Nature Communications</w:t>
      </w:r>
      <w:r>
        <w:t xml:space="preserve">,</w:t>
      </w:r>
      <w:r>
        <w:t xml:space="preserve"> </w:t>
      </w:r>
      <w:r>
        <w:rPr>
          <w:i/>
          <w:iCs/>
        </w:rPr>
        <w:t xml:space="preserve">16</w:t>
      </w:r>
      <w:r>
        <w:t xml:space="preserve">(1).</w:t>
      </w:r>
      <w:r>
        <w:t xml:space="preserve"> </w:t>
      </w:r>
      <w:hyperlink r:id="rId180">
        <w:r>
          <w:rPr>
            <w:rStyle w:val="Hyperlink"/>
          </w:rPr>
          <w:t xml:space="preserve">https://doi.org/10.1038/s41467-025-56117-0</w:t>
        </w:r>
      </w:hyperlink>
    </w:p>
    <w:bookmarkEnd w:id="181"/>
    <w:bookmarkStart w:id="183" w:name="ref-rausch2023"/>
    <w:p>
      <w:pPr>
        <w:pStyle w:val="Bibliography"/>
      </w:pPr>
      <w:r>
        <w:t xml:space="preserve">Rausch, M., Hellmann, S., &amp; Zehetleitner, M. (2026). Measures of metacognitive efficiency across cognitive models of decision confidence.</w:t>
      </w:r>
      <w:r>
        <w:t xml:space="preserve"> </w:t>
      </w:r>
      <w:r>
        <w:rPr>
          <w:i/>
          <w:iCs/>
        </w:rPr>
        <w:t xml:space="preserve">Psychological Methods</w:t>
      </w:r>
      <w:r>
        <w:t xml:space="preserve">,</w:t>
      </w:r>
      <w:r>
        <w:t xml:space="preserve"> </w:t>
      </w:r>
      <w:r>
        <w:rPr>
          <w:i/>
          <w:iCs/>
        </w:rPr>
        <w:t xml:space="preserve">31</w:t>
      </w:r>
      <w:r>
        <w:t xml:space="preserve">(4), 607–626.</w:t>
      </w:r>
      <w:r>
        <w:t xml:space="preserve"> </w:t>
      </w:r>
      <w:hyperlink r:id="rId182">
        <w:r>
          <w:rPr>
            <w:rStyle w:val="Hyperlink"/>
          </w:rPr>
          <w:t xml:space="preserve">https://doi.org/10.1037/met0000634</w:t>
        </w:r>
      </w:hyperlink>
    </w:p>
    <w:bookmarkEnd w:id="183"/>
    <w:bookmarkStart w:id="185" w:name="ref-rohrer2024"/>
    <w:p>
      <w:pPr>
        <w:pStyle w:val="Bibliography"/>
      </w:pPr>
      <w:r>
        <w:t xml:space="preserve">Rohrer, J. M. (2024). Causal inference for psychologists who think that causal inference is not for them.</w:t>
      </w:r>
      <w:r>
        <w:t xml:space="preserve"> </w:t>
      </w:r>
      <w:r>
        <w:rPr>
          <w:i/>
          <w:iCs/>
        </w:rPr>
        <w:t xml:space="preserve">Social and Personality Psychology Compass</w:t>
      </w:r>
      <w:r>
        <w:t xml:space="preserve">,</w:t>
      </w:r>
      <w:r>
        <w:t xml:space="preserve"> </w:t>
      </w:r>
      <w:r>
        <w:rPr>
          <w:i/>
          <w:iCs/>
        </w:rPr>
        <w:t xml:space="preserve">18</w:t>
      </w:r>
      <w:r>
        <w:t xml:space="preserve">(3).</w:t>
      </w:r>
      <w:r>
        <w:t xml:space="preserve"> </w:t>
      </w:r>
      <w:hyperlink r:id="rId184">
        <w:r>
          <w:rPr>
            <w:rStyle w:val="Hyperlink"/>
          </w:rPr>
          <w:t xml:space="preserve">https://doi.org/10.1111/spc3.12948</w:t>
        </w:r>
      </w:hyperlink>
    </w:p>
    <w:bookmarkEnd w:id="185"/>
    <w:bookmarkStart w:id="187" w:name="ref-rouault2018"/>
    <w:p>
      <w:pPr>
        <w:pStyle w:val="Bibliography"/>
      </w:pPr>
      <w:r>
        <w:t xml:space="preserve">Rouault, M., Seow, T., Gillan, C. M., &amp; Fleming, S. M. (2018). Psychiatric symptom dimensions are associated with dissociable shifts in metacognition but not task performance.</w:t>
      </w:r>
      <w:r>
        <w:t xml:space="preserve"> </w:t>
      </w:r>
      <w:r>
        <w:rPr>
          <w:i/>
          <w:iCs/>
        </w:rPr>
        <w:t xml:space="preserve">Biological Psychiatry</w:t>
      </w:r>
      <w:r>
        <w:t xml:space="preserve">,</w:t>
      </w:r>
      <w:r>
        <w:t xml:space="preserve"> </w:t>
      </w:r>
      <w:r>
        <w:rPr>
          <w:i/>
          <w:iCs/>
        </w:rPr>
        <w:t xml:space="preserve">84</w:t>
      </w:r>
      <w:r>
        <w:t xml:space="preserve">(6), 443–451.</w:t>
      </w:r>
      <w:r>
        <w:t xml:space="preserve"> </w:t>
      </w:r>
      <w:hyperlink r:id="rId186">
        <w:r>
          <w:rPr>
            <w:rStyle w:val="Hyperlink"/>
          </w:rPr>
          <w:t xml:space="preserve">https://doi.org/10.1016/j.biopsych.2017.12.017</w:t>
        </w:r>
      </w:hyperlink>
    </w:p>
    <w:bookmarkEnd w:id="187"/>
    <w:bookmarkStart w:id="189" w:name="ref-sarna2026"/>
    <w:p>
      <w:pPr>
        <w:pStyle w:val="Bibliography"/>
      </w:pPr>
      <w:r>
        <w:t xml:space="preserve">Sarna, N., Dar, R., &amp; Mazor, M. (2026a). Biased and inattentive responding contribute to apparent metacognitive biases in mental health.</w:t>
      </w:r>
      <w:r>
        <w:t xml:space="preserve"> </w:t>
      </w:r>
      <w:r>
        <w:rPr>
          <w:i/>
          <w:iCs/>
        </w:rPr>
        <w:t xml:space="preserve">Proceedings of the National Academy of Sciences</w:t>
      </w:r>
      <w:r>
        <w:t xml:space="preserve">,</w:t>
      </w:r>
      <w:r>
        <w:t xml:space="preserve"> </w:t>
      </w:r>
      <w:r>
        <w:rPr>
          <w:i/>
          <w:iCs/>
        </w:rPr>
        <w:t xml:space="preserve">123</w:t>
      </w:r>
      <w:r>
        <w:t xml:space="preserve">(19).</w:t>
      </w:r>
      <w:r>
        <w:t xml:space="preserve"> </w:t>
      </w:r>
      <w:hyperlink r:id="rId188">
        <w:r>
          <w:rPr>
            <w:rStyle w:val="Hyperlink"/>
          </w:rPr>
          <w:t xml:space="preserve">https://doi.org/10.1073/pnas.2520832123</w:t>
        </w:r>
      </w:hyperlink>
    </w:p>
    <w:bookmarkEnd w:id="189"/>
    <w:bookmarkStart w:id="191" w:name="ref-sarna2026b"/>
    <w:p>
      <w:pPr>
        <w:pStyle w:val="Bibliography"/>
      </w:pPr>
      <w:r>
        <w:t xml:space="preserve">Sarna, N., Dar, R., &amp; Mazor, M. (2026b). Reply to gillan et al.: What should be the null hypothesis in computational psychiatry?</w:t>
      </w:r>
      <w:r>
        <w:t xml:space="preserve"> </w:t>
      </w:r>
      <w:r>
        <w:rPr>
          <w:i/>
          <w:iCs/>
        </w:rPr>
        <w:t xml:space="preserve">Proceedings of the National Academy of Sciences</w:t>
      </w:r>
      <w:r>
        <w:t xml:space="preserve">,</w:t>
      </w:r>
      <w:r>
        <w:t xml:space="preserve"> </w:t>
      </w:r>
      <w:r>
        <w:rPr>
          <w:i/>
          <w:iCs/>
        </w:rPr>
        <w:t xml:space="preserve">123</w:t>
      </w:r>
      <w:r>
        <w:t xml:space="preserve">(43).</w:t>
      </w:r>
      <w:r>
        <w:t xml:space="preserve"> </w:t>
      </w:r>
      <w:hyperlink r:id="rId190">
        <w:r>
          <w:rPr>
            <w:rStyle w:val="Hyperlink"/>
          </w:rPr>
          <w:t xml:space="preserve">https://doi.org/10.1073/pnas.2628596123</w:t>
        </w:r>
      </w:hyperlink>
    </w:p>
    <w:bookmarkEnd w:id="191"/>
    <w:bookmarkStart w:id="193" w:name="ref-schad2021"/>
    <w:p>
      <w:pPr>
        <w:pStyle w:val="Bibliography"/>
      </w:pPr>
      <w:r>
        <w:t xml:space="preserve">Schad, D. J., Betancourt, M., &amp; Vasishth, S. (2021). Toward a principled bayesian workflow in cognitive science.</w:t>
      </w:r>
      <w:r>
        <w:t xml:space="preserve"> </w:t>
      </w:r>
      <w:r>
        <w:rPr>
          <w:i/>
          <w:iCs/>
        </w:rPr>
        <w:t xml:space="preserve">Psychological Methods</w:t>
      </w:r>
      <w:r>
        <w:t xml:space="preserve">,</w:t>
      </w:r>
      <w:r>
        <w:t xml:space="preserve"> </w:t>
      </w:r>
      <w:r>
        <w:rPr>
          <w:i/>
          <w:iCs/>
        </w:rPr>
        <w:t xml:space="preserve">26</w:t>
      </w:r>
      <w:r>
        <w:t xml:space="preserve">(1), 103–126.</w:t>
      </w:r>
      <w:r>
        <w:t xml:space="preserve"> </w:t>
      </w:r>
      <w:hyperlink r:id="rId192">
        <w:r>
          <w:rPr>
            <w:rStyle w:val="Hyperlink"/>
          </w:rPr>
          <w:t xml:space="preserve">https://doi.org/10.1037/met0000275</w:t>
        </w:r>
      </w:hyperlink>
    </w:p>
    <w:bookmarkEnd w:id="193"/>
    <w:bookmarkStart w:id="194" w:name="ref-singmann2019"/>
    <w:p>
      <w:pPr>
        <w:pStyle w:val="Bibliography"/>
      </w:pPr>
      <w:r>
        <w:t xml:space="preserve">Singmann, H., &amp; Kellen, D. (2019). An introduction to mixed models for experimental psychology. In</w:t>
      </w:r>
      <w:r>
        <w:t xml:space="preserve"> </w:t>
      </w:r>
      <w:r>
        <w:rPr>
          <w:i/>
          <w:iCs/>
        </w:rPr>
        <w:t xml:space="preserve">New methods in cognitive psychology</w:t>
      </w:r>
      <w:r>
        <w:t xml:space="preserve"> </w:t>
      </w:r>
      <w:r>
        <w:t xml:space="preserve">(pp. 4–31). Routledge.</w:t>
      </w:r>
    </w:p>
    <w:bookmarkEnd w:id="194"/>
    <w:bookmarkStart w:id="196" w:name="ref-sivula2025"/>
    <w:p>
      <w:pPr>
        <w:pStyle w:val="Bibliography"/>
      </w:pPr>
      <w:r>
        <w:t xml:space="preserve">Sivula, T., Magnusson, M., Matamoros, A. A., &amp; Vehtari, A. (2025). Uncertainty in bayesian leave-one-out cross-validation based model comparison.</w:t>
      </w:r>
      <w:r>
        <w:t xml:space="preserve"> </w:t>
      </w:r>
      <w:r>
        <w:rPr>
          <w:i/>
          <w:iCs/>
        </w:rPr>
        <w:t xml:space="preserve">Bayesian Analysis</w:t>
      </w:r>
      <w:r>
        <w:t xml:space="preserve">,</w:t>
      </w:r>
      <w:r>
        <w:t xml:space="preserve"> </w:t>
      </w:r>
      <w:r>
        <w:rPr>
          <w:i/>
          <w:iCs/>
        </w:rPr>
        <w:t xml:space="preserve">-1</w:t>
      </w:r>
      <w:r>
        <w:t xml:space="preserve">(-1).</w:t>
      </w:r>
      <w:r>
        <w:t xml:space="preserve"> </w:t>
      </w:r>
      <w:hyperlink r:id="rId195">
        <w:r>
          <w:rPr>
            <w:rStyle w:val="Hyperlink"/>
          </w:rPr>
          <w:t xml:space="preserve">https://doi.org/10.1214/25-ba1569</w:t>
        </w:r>
      </w:hyperlink>
    </w:p>
    <w:bookmarkEnd w:id="196"/>
    <w:bookmarkStart w:id="198" w:name="ref-talts2018"/>
    <w:p>
      <w:pPr>
        <w:pStyle w:val="Bibliography"/>
      </w:pPr>
      <w:r>
        <w:t xml:space="preserve">Talts, S., Betancourt, M., Simpson, D., Vehtari, A., &amp; Gelman, A. (2018).</w:t>
      </w:r>
      <w:r>
        <w:t xml:space="preserve"> </w:t>
      </w:r>
      <w:r>
        <w:rPr>
          <w:i/>
          <w:iCs/>
        </w:rPr>
        <w:t xml:space="preserve">Validating bayesian inference algorithms with simulation-based calibration</w:t>
      </w:r>
      <w:r>
        <w:t xml:space="preserve">. arXiv.</w:t>
      </w:r>
      <w:r>
        <w:t xml:space="preserve"> </w:t>
      </w:r>
      <w:hyperlink r:id="rId197">
        <w:r>
          <w:rPr>
            <w:rStyle w:val="Hyperlink"/>
          </w:rPr>
          <w:t xml:space="preserve">https://doi.org/10.48550/ARXIV.1804.06788</w:t>
        </w:r>
      </w:hyperlink>
    </w:p>
    <w:bookmarkEnd w:id="198"/>
    <w:bookmarkStart w:id="200" w:name="ref-vehtari2017"/>
    <w:p>
      <w:pPr>
        <w:pStyle w:val="Bibliography"/>
      </w:pPr>
      <w:r>
        <w:t xml:space="preserve">Vehtari, A., Gelman, A., &amp; Gabry, J. (2017). Practical bayesian model evaluation using leave-one-out cross-validation and WAIC.</w:t>
      </w:r>
      <w:r>
        <w:t xml:space="preserve"> </w:t>
      </w:r>
      <w:r>
        <w:rPr>
          <w:i/>
          <w:iCs/>
        </w:rPr>
        <w:t xml:space="preserve">Statistics and Computing</w:t>
      </w:r>
      <w:r>
        <w:t xml:space="preserve">,</w:t>
      </w:r>
      <w:r>
        <w:t xml:space="preserve"> </w:t>
      </w:r>
      <w:r>
        <w:rPr>
          <w:i/>
          <w:iCs/>
        </w:rPr>
        <w:t xml:space="preserve">27</w:t>
      </w:r>
      <w:r>
        <w:t xml:space="preserve">(5), 1413–1432.</w:t>
      </w:r>
      <w:r>
        <w:t xml:space="preserve"> </w:t>
      </w:r>
      <w:hyperlink r:id="rId199">
        <w:r>
          <w:rPr>
            <w:rStyle w:val="Hyperlink"/>
          </w:rPr>
          <w:t xml:space="preserve">https://doi.org/10.1007/s11222-016-9696-4</w:t>
        </w:r>
      </w:hyperlink>
    </w:p>
    <w:bookmarkEnd w:id="200"/>
    <w:bookmarkStart w:id="202" w:name="ref-westfall2016"/>
    <w:p>
      <w:pPr>
        <w:pStyle w:val="Bibliography"/>
      </w:pPr>
      <w:r>
        <w:t xml:space="preserve">Westfall, J., &amp; Yarkoni, T. (2016). Statistically controlling for confounding constructs is harder than you think.</w:t>
      </w:r>
      <w:r>
        <w:t xml:space="preserve"> </w:t>
      </w:r>
      <w:r>
        <w:rPr>
          <w:i/>
          <w:iCs/>
        </w:rPr>
        <w:t xml:space="preserve">PLOS ONE</w:t>
      </w:r>
      <w:r>
        <w:t xml:space="preserve">,</w:t>
      </w:r>
      <w:r>
        <w:t xml:space="preserve"> </w:t>
      </w:r>
      <w:r>
        <w:rPr>
          <w:i/>
          <w:iCs/>
        </w:rPr>
        <w:t xml:space="preserve">11</w:t>
      </w:r>
      <w:r>
        <w:t xml:space="preserve">(3), e0152719.</w:t>
      </w:r>
      <w:r>
        <w:t xml:space="preserve"> </w:t>
      </w:r>
      <w:hyperlink r:id="rId201">
        <w:r>
          <w:rPr>
            <w:rStyle w:val="Hyperlink"/>
          </w:rPr>
          <w:t xml:space="preserve">https://doi.org/10.1371/journal.pone.0152719</w:t>
        </w:r>
      </w:hyperlink>
    </w:p>
    <w:bookmarkEnd w:id="202"/>
    <w:bookmarkStart w:id="204" w:name="ref-xue2021"/>
    <w:p>
      <w:pPr>
        <w:pStyle w:val="Bibliography"/>
      </w:pPr>
      <w:r>
        <w:t xml:space="preserve">Xue, K., Shekhar, M., &amp; Rahnev, D. (2021). Examining the robustness of the relationship between metacognitive efficiency and metacognitive bias.</w:t>
      </w:r>
      <w:r>
        <w:t xml:space="preserve"> </w:t>
      </w:r>
      <w:r>
        <w:rPr>
          <w:i/>
          <w:iCs/>
        </w:rPr>
        <w:t xml:space="preserve">Consciousness and Cognition</w:t>
      </w:r>
      <w:r>
        <w:t xml:space="preserve">,</w:t>
      </w:r>
      <w:r>
        <w:t xml:space="preserve"> </w:t>
      </w:r>
      <w:r>
        <w:rPr>
          <w:i/>
          <w:iCs/>
        </w:rPr>
        <w:t xml:space="preserve">95</w:t>
      </w:r>
      <w:r>
        <w:t xml:space="preserve">, 103196.</w:t>
      </w:r>
      <w:r>
        <w:t xml:space="preserve"> </w:t>
      </w:r>
      <w:hyperlink r:id="rId203">
        <w:r>
          <w:rPr>
            <w:rStyle w:val="Hyperlink"/>
          </w:rPr>
          <w:t xml:space="preserve">https://doi.org/10.1016/j.concog.2021.103196</w:t>
        </w:r>
      </w:hyperlink>
    </w:p>
    <w:bookmarkEnd w:id="204"/>
    <w:bookmarkStart w:id="206" w:name="ref-yarkoni2020"/>
    <w:p>
      <w:pPr>
        <w:pStyle w:val="Bibliography"/>
      </w:pPr>
      <w:r>
        <w:t xml:space="preserve">Yarkoni, T. (2020). The generalizability crisis.</w:t>
      </w:r>
      <w:r>
        <w:t xml:space="preserve"> </w:t>
      </w:r>
      <w:r>
        <w:rPr>
          <w:i/>
          <w:iCs/>
        </w:rPr>
        <w:t xml:space="preserve">Behavioral and Brain Sciences</w:t>
      </w:r>
      <w:r>
        <w:t xml:space="preserve">,</w:t>
      </w:r>
      <w:r>
        <w:t xml:space="preserve"> </w:t>
      </w:r>
      <w:r>
        <w:rPr>
          <w:i/>
          <w:iCs/>
        </w:rPr>
        <w:t xml:space="preserve">45</w:t>
      </w:r>
      <w:r>
        <w:t xml:space="preserve">.</w:t>
      </w:r>
      <w:r>
        <w:t xml:space="preserve"> </w:t>
      </w:r>
      <w:hyperlink r:id="rId205">
        <w:r>
          <w:rPr>
            <w:rStyle w:val="Hyperlink"/>
          </w:rPr>
          <w:t xml:space="preserve">https://doi.org/10.1017/s0140525x20001685</w:t>
        </w:r>
      </w:hyperlink>
    </w:p>
    <w:bookmarkEnd w:id="206"/>
    <w:bookmarkEnd w:id="207"/>
    <w:p>
      <w:r>
        <w:br w:type="page"/>
      </w:r>
    </w:p>
    <w:bookmarkEnd w:id="208"/>
    <w:p>
      <w:pPr>
        <w:pStyle w:val="Heading1"/>
      </w:pPr>
      <w:r>
        <w:t xml:space="preserve">Appendix</w:t>
      </w:r>
    </w:p>
    <w:bookmarkStart w:id="209" w:name="apx-ll"/>
    <w:p>
      <w:pPr>
        <w:pStyle w:val="Heading1"/>
      </w:pPr>
      <w:r>
        <w:t xml:space="preserve">Log likelihood of the</w:t>
      </w:r>
      <w:r>
        <w:t xml:space="preserve"> </w:t>
      </w:r>
      <m:oMath>
        <m:r>
          <m:rPr>
            <m:nor/>
            <m:sty m:val="p"/>
          </m:rPr>
          <m:t>meta-</m:t>
        </m:r>
        <m:sSup>
          <m:e>
            <m:r>
              <m:t>d</m:t>
            </m:r>
          </m:e>
          <m:sup>
            <m:r>
              <m:rPr>
                <m:sty m:val="p"/>
              </m:rPr>
              <m:t>′</m:t>
            </m:r>
          </m:sup>
        </m:sSup>
      </m:oMath>
      <w:r>
        <w:t xml:space="preserve"> </w:t>
      </w:r>
      <w:r>
        <w:t xml:space="preserve">model</w:t>
      </w:r>
    </w:p>
    <w:p>
      <w:pPr>
        <w:pStyle w:val="FirstParagraph"/>
      </w:pPr>
      <w:r>
        <w:t xml:space="preserve">Computation with raw probabilities often leads to numerical issues like underflow, as well as potentially problematic posterior geometry. To reduce both issues, the probabilistic programming language Stan (which the</w:t>
      </w:r>
      <w:r>
        <w:t xml:space="preserve"> </w:t>
      </w:r>
      <w:r>
        <w:rPr>
          <w:rStyle w:val="VerbatimChar"/>
        </w:rPr>
        <w:t xml:space="preserve">hmetad</w:t>
      </w:r>
      <w:r>
        <w:t xml:space="preserve"> </w:t>
      </w:r>
      <w:r>
        <w:t xml:space="preserve">pacakge is built on) performs computations and evaluates gradients on the logarithmic scale. For the categorical likelihood:</w:t>
      </w:r>
    </w:p>
    <w:p>
      <w:pPr>
        <w:pStyle w:val="BodyText"/>
      </w:pPr>
      <m:oMathPara>
        <m:oMathParaPr>
          <m:jc m:val="center"/>
        </m:oMathParaPr>
        <m:oMath>
          <m:eqArr>
            <m:e>
              <m:r>
                <m:t>ℓ</m:t>
              </m:r>
              <m:r>
                <m:rPr>
                  <m:sty m:val="p"/>
                </m:rPr>
                <m:t>(</m:t>
              </m:r>
              <m:r>
                <m:rPr>
                  <m:sty m:val="bi"/>
                </m:rPr>
                <m:t>θ</m:t>
              </m:r>
              <m:r>
                <m:t> </m:t>
              </m:r>
              <m:r>
                <m:rPr>
                  <m:sty m:val="p"/>
                </m:rPr>
                <m:t>|</m:t>
              </m:r>
              <m:r>
                <m:t> </m:t>
              </m:r>
              <m:r>
                <m:t>S</m:t>
              </m:r>
              <m:r>
                <m:rPr>
                  <m:sty m:val="p"/>
                </m:rPr>
                <m:t>=</m:t>
              </m:r>
              <m:r>
                <m:rPr>
                  <m:sty m:val="bi"/>
                </m:rPr>
                <m:t>s</m:t>
              </m:r>
              <m:r>
                <m:rPr>
                  <m:sty m:val="p"/>
                </m:rPr>
                <m:t>,</m:t>
              </m:r>
              <m:r>
                <m:t>R</m:t>
              </m:r>
              <m:r>
                <m:rPr>
                  <m:sty m:val="p"/>
                </m:rPr>
                <m:t>=</m:t>
              </m:r>
              <m:r>
                <m:rPr>
                  <m:sty m:val="bi"/>
                </m:rPr>
                <m:t>r</m:t>
              </m:r>
              <m:r>
                <m:rPr>
                  <m:sty m:val="p"/>
                </m:rPr>
                <m:t>,</m:t>
              </m:r>
              <m:r>
                <m:t>C</m:t>
              </m:r>
              <m:r>
                <m:rPr>
                  <m:sty m:val="p"/>
                </m:rPr>
                <m:t>=</m:t>
              </m:r>
              <m:r>
                <m:rPr>
                  <m:sty m:val="bi"/>
                </m:rPr>
                <m:t>c</m:t>
              </m:r>
              <m:r>
                <m:rPr>
                  <m:sty m:val="p"/>
                </m:rPr>
                <m:t>)</m:t>
              </m:r>
              <m:r>
                <m:t>&amp;</m:t>
              </m:r>
              <m:r>
                <m:rPr>
                  <m:sty m:val="p"/>
                </m:rPr>
                <m:t>=</m:t>
              </m:r>
              <m:r>
                <m:rPr>
                  <m:sty m:val="p"/>
                </m:rPr>
                <m:t>log</m:t>
              </m:r>
              <m:r>
                <m:rPr>
                  <m:scr m:val="script"/>
                  <m:sty m:val="p"/>
                </m:rPr>
                <m:t>L</m:t>
              </m:r>
              <m:r>
                <m:rPr>
                  <m:sty m:val="p"/>
                </m:rPr>
                <m:t>(</m:t>
              </m:r>
              <m:r>
                <m:rPr>
                  <m:sty m:val="bi"/>
                </m:rPr>
                <m:t>θ</m:t>
              </m:r>
              <m:r>
                <m:t> </m:t>
              </m:r>
              <m:r>
                <m:rPr>
                  <m:sty m:val="p"/>
                </m:rPr>
                <m:t>|</m:t>
              </m:r>
              <m:r>
                <m:t> </m:t>
              </m:r>
              <m:r>
                <m:t>S</m:t>
              </m:r>
              <m:r>
                <m:rPr>
                  <m:sty m:val="p"/>
                </m:rPr>
                <m:t>=</m:t>
              </m:r>
              <m:r>
                <m:rPr>
                  <m:sty m:val="bi"/>
                </m:rPr>
                <m:t>s</m:t>
              </m:r>
              <m:r>
                <m:rPr>
                  <m:sty m:val="p"/>
                </m:rPr>
                <m:t>,</m:t>
              </m:r>
              <m:r>
                <m:t>R</m:t>
              </m:r>
              <m:r>
                <m:rPr>
                  <m:sty m:val="p"/>
                </m:rPr>
                <m:t>=</m:t>
              </m:r>
              <m:r>
                <m:rPr>
                  <m:sty m:val="bi"/>
                </m:rPr>
                <m:t>r</m:t>
              </m:r>
              <m:r>
                <m:rPr>
                  <m:sty m:val="p"/>
                </m:rPr>
                <m:t>,</m:t>
              </m:r>
              <m:r>
                <m:t>C</m:t>
              </m:r>
              <m:r>
                <m:rPr>
                  <m:sty m:val="p"/>
                </m:rPr>
                <m:t>=</m:t>
              </m:r>
              <m:r>
                <m:rPr>
                  <m:sty m:val="bi"/>
                </m:rPr>
                <m:t>c</m:t>
              </m:r>
              <m:r>
                <m:rPr>
                  <m:sty m:val="p"/>
                </m:rPr>
                <m:t>)</m:t>
              </m:r>
            </m:e>
            <m:e>
              <m:r>
                <m:t>&amp;</m:t>
              </m:r>
              <m:r>
                <m:rPr>
                  <m:sty m:val="p"/>
                </m:rPr>
                <m:t>=</m:t>
              </m:r>
              <m:r>
                <m:rPr>
                  <m:sty m:val="p"/>
                </m:rPr>
                <m:t>log</m:t>
              </m:r>
              <m:nary>
                <m:naryPr>
                  <m:chr m:val="∏"/>
                  <m:limLoc m:val="undOvr"/>
                  <m:subHide m:val="off"/>
                  <m:supHide m:val="off"/>
                </m:naryPr>
                <m:sub>
                  <m:r>
                    <m:t>n</m:t>
                  </m:r>
                  <m:r>
                    <m:rPr>
                      <m:sty m:val="p"/>
                    </m:rPr>
                    <m:t>=</m:t>
                  </m:r>
                  <m:r>
                    <m:t>1</m:t>
                  </m:r>
                </m:sub>
                <m:sup>
                  <m:r>
                    <m:t>N</m:t>
                  </m:r>
                </m:sup>
                <m:e>
                  <m:r>
                    <m:t>P</m:t>
                  </m:r>
                </m:e>
              </m:nary>
              <m:r>
                <m:rPr>
                  <m:sty m:val="p"/>
                </m:rPr>
                <m:t>(</m:t>
              </m:r>
              <m:r>
                <m:t>R</m:t>
              </m:r>
              <m:r>
                <m:rPr>
                  <m:sty m:val="p"/>
                </m:rPr>
                <m:t>=</m:t>
              </m:r>
              <m:sSub>
                <m:e>
                  <m:r>
                    <m:t>r</m:t>
                  </m:r>
                </m:e>
                <m:sub>
                  <m:r>
                    <m:t>n</m:t>
                  </m:r>
                </m:sub>
              </m:sSub>
              <m:r>
                <m:rPr>
                  <m:sty m:val="p"/>
                </m:rPr>
                <m:t>,</m:t>
              </m:r>
              <m:r>
                <m:t>C</m:t>
              </m:r>
              <m:r>
                <m:rPr>
                  <m:sty m:val="p"/>
                </m:rPr>
                <m:t>=</m:t>
              </m:r>
              <m:sSub>
                <m:e>
                  <m:r>
                    <m:t>c</m:t>
                  </m:r>
                </m:e>
                <m:sub>
                  <m:r>
                    <m:t>n</m:t>
                  </m:r>
                </m:sub>
              </m:sSub>
              <m:r>
                <m:t> </m:t>
              </m:r>
              <m:r>
                <m:rPr>
                  <m:sty m:val="p"/>
                </m:rPr>
                <m:t>|</m:t>
              </m:r>
              <m:r>
                <m:t> </m:t>
              </m:r>
              <m:r>
                <m:t>S</m:t>
              </m:r>
              <m:r>
                <m:rPr>
                  <m:sty m:val="p"/>
                </m:rPr>
                <m:t>=</m:t>
              </m:r>
              <m:sSub>
                <m:e>
                  <m:r>
                    <m:t>s</m:t>
                  </m:r>
                </m:e>
                <m:sub>
                  <m:r>
                    <m:t>n</m:t>
                  </m:r>
                </m:sub>
              </m:sSub>
              <m:r>
                <m:rPr>
                  <m:sty m:val="p"/>
                </m:rPr>
                <m:t>)</m:t>
              </m:r>
            </m:e>
            <m:e>
              <m:r>
                <m:t>&amp;</m:t>
              </m:r>
              <m:r>
                <m:rPr>
                  <m:sty m:val="p"/>
                </m:rPr>
                <m:t>=</m:t>
              </m:r>
              <m:nary>
                <m:naryPr>
                  <m:chr m:val="∑"/>
                  <m:limLoc m:val="undOvr"/>
                  <m:subHide m:val="off"/>
                  <m:supHide m:val="off"/>
                </m:naryPr>
                <m:sub>
                  <m:r>
                    <m:t>n</m:t>
                  </m:r>
                  <m:r>
                    <m:rPr>
                      <m:sty m:val="p"/>
                    </m:rPr>
                    <m:t>=</m:t>
                  </m:r>
                  <m:r>
                    <m:t>1</m:t>
                  </m:r>
                </m:sub>
                <m:sup>
                  <m:r>
                    <m:t>N</m:t>
                  </m:r>
                </m:sup>
                <m:e>
                  <m:r>
                    <m:rPr>
                      <m:sty m:val="p"/>
                    </m:rPr>
                    <m:t>log</m:t>
                  </m:r>
                </m:e>
              </m:nary>
              <m:r>
                <m:t>P</m:t>
              </m:r>
              <m:r>
                <m:rPr>
                  <m:sty m:val="p"/>
                </m:rPr>
                <m:t>(</m:t>
              </m:r>
              <m:r>
                <m:t>R</m:t>
              </m:r>
              <m:r>
                <m:rPr>
                  <m:sty m:val="p"/>
                </m:rPr>
                <m:t>=</m:t>
              </m:r>
              <m:sSub>
                <m:e>
                  <m:r>
                    <m:t>r</m:t>
                  </m:r>
                </m:e>
                <m:sub>
                  <m:r>
                    <m:t>n</m:t>
                  </m:r>
                </m:sub>
              </m:sSub>
              <m:r>
                <m:rPr>
                  <m:sty m:val="p"/>
                </m:rPr>
                <m:t>,</m:t>
              </m:r>
              <m:r>
                <m:t>C</m:t>
              </m:r>
              <m:r>
                <m:rPr>
                  <m:sty m:val="p"/>
                </m:rPr>
                <m:t>=</m:t>
              </m:r>
              <m:sSub>
                <m:e>
                  <m:r>
                    <m:t>c</m:t>
                  </m:r>
                </m:e>
                <m:sub>
                  <m:r>
                    <m:t>n</m:t>
                  </m:r>
                </m:sub>
              </m:sSub>
              <m:r>
                <m:t> </m:t>
              </m:r>
              <m:r>
                <m:rPr>
                  <m:sty m:val="p"/>
                </m:rPr>
                <m:t>|</m:t>
              </m:r>
              <m:r>
                <m:t> </m:t>
              </m:r>
              <m:r>
                <m:t>S</m:t>
              </m:r>
              <m:r>
                <m:rPr>
                  <m:sty m:val="p"/>
                </m:rPr>
                <m:t>=</m:t>
              </m:r>
              <m:sSub>
                <m:e>
                  <m:r>
                    <m:t>s</m:t>
                  </m:r>
                </m:e>
                <m:sub>
                  <m:r>
                    <m:t>n</m:t>
                  </m:r>
                </m:sub>
              </m:sSub>
              <m:r>
                <m:rPr>
                  <m:sty m:val="p"/>
                </m:rPr>
                <m:t>)</m:t>
              </m:r>
            </m:e>
          </m:eqArr>
        </m:oMath>
      </m:oMathPara>
    </w:p>
    <w:p>
      <w:pPr>
        <w:pStyle w:val="FirstParagraph"/>
      </w:pPr>
      <w:r>
        <w:t xml:space="preserve">And for the multinomial likelihood:</w:t>
      </w:r>
    </w:p>
    <w:p>
      <w:pPr>
        <w:pStyle w:val="BodyText"/>
      </w:pPr>
      <m:oMathPara>
        <m:oMathParaPr>
          <m:jc m:val="center"/>
        </m:oMathParaPr>
        <m:oMath>
          <m:eqArr>
            <m:e>
              <m:r>
                <m:t>ℓ</m:t>
              </m:r>
              <m:r>
                <m:rPr>
                  <m:sty m:val="p"/>
                </m:rPr>
                <m:t>(</m:t>
              </m:r>
              <m:r>
                <m:rPr>
                  <m:sty m:val="bi"/>
                </m:rPr>
                <m:t>θ</m:t>
              </m:r>
              <m:r>
                <m:t> </m:t>
              </m:r>
              <m:r>
                <m:rPr>
                  <m:sty m:val="p"/>
                </m:rPr>
                <m:t>|</m:t>
              </m:r>
              <m:r>
                <m:t> </m:t>
              </m:r>
              <m:r>
                <m:rPr>
                  <m:sty m:val="bi"/>
                </m:rPr>
                <m:t>N</m:t>
              </m:r>
              <m:r>
                <m:rPr>
                  <m:sty m:val="p"/>
                </m:rPr>
                <m:t>)</m:t>
              </m:r>
              <m:r>
                <m:t>&amp;</m:t>
              </m:r>
              <m:r>
                <m:rPr>
                  <m:sty m:val="p"/>
                </m:rPr>
                <m:t>=</m:t>
              </m:r>
              <m:r>
                <m:rPr>
                  <m:sty m:val="p"/>
                </m:rPr>
                <m:t>log</m:t>
              </m:r>
              <m:r>
                <m:rPr>
                  <m:scr m:val="script"/>
                  <m:sty m:val="p"/>
                </m:rPr>
                <m:t>L</m:t>
              </m:r>
              <m:r>
                <m:rPr>
                  <m:sty m:val="p"/>
                </m:rPr>
                <m:t>(</m:t>
              </m:r>
              <m:r>
                <m:rPr>
                  <m:sty m:val="bi"/>
                </m:rPr>
                <m:t>θ</m:t>
              </m:r>
              <m:r>
                <m:t> </m:t>
              </m:r>
              <m:r>
                <m:rPr>
                  <m:sty m:val="p"/>
                </m:rPr>
                <m:t>|</m:t>
              </m:r>
              <m:r>
                <m:t> </m:t>
              </m:r>
              <m:r>
                <m:rPr>
                  <m:sty m:val="bi"/>
                </m:rPr>
                <m:t>N</m:t>
              </m:r>
              <m:r>
                <m:rPr>
                  <m:sty m:val="p"/>
                </m:rPr>
                <m:t>)</m:t>
              </m:r>
            </m:e>
            <m:e>
              <m:r>
                <m:t>&amp;</m:t>
              </m:r>
              <m:r>
                <m:rPr>
                  <m:sty m:val="p"/>
                </m:rPr>
                <m:t>∝</m:t>
              </m:r>
              <m:r>
                <m:rPr>
                  <m:sty m:val="p"/>
                </m:rPr>
                <m:t>log</m:t>
              </m:r>
              <m:nary>
                <m:naryPr>
                  <m:chr m:val="∏"/>
                  <m:limLoc m:val="undOvr"/>
                  <m:subHide m:val="off"/>
                  <m:supHide m:val="on"/>
                </m:naryPr>
                <m:sub>
                  <m:r>
                    <m:t>s</m:t>
                  </m:r>
                  <m:r>
                    <m:rPr>
                      <m:sty m:val="p"/>
                    </m:rPr>
                    <m:t>,</m:t>
                  </m:r>
                  <m:r>
                    <m:t>r</m:t>
                  </m:r>
                  <m:r>
                    <m:rPr>
                      <m:sty m:val="p"/>
                    </m:rPr>
                    <m:t>,</m:t>
                  </m:r>
                  <m:r>
                    <m:t>c</m:t>
                  </m:r>
                </m:sub>
                <m:sup>
                  <m:r>
                    <m:t>​</m:t>
                  </m:r>
                </m:sup>
                <m:e>
                  <m:r>
                    <m:t>P</m:t>
                  </m:r>
                </m:e>
              </m:nary>
              <m:r>
                <m:rPr>
                  <m:sty m:val="p"/>
                </m:rPr>
                <m:t>(</m:t>
              </m:r>
              <m:r>
                <m:t>R</m:t>
              </m:r>
              <m:r>
                <m:rPr>
                  <m:sty m:val="p"/>
                </m:rPr>
                <m:t>=</m:t>
              </m:r>
              <m:r>
                <m:t>r</m:t>
              </m:r>
              <m:r>
                <m:rPr>
                  <m:sty m:val="p"/>
                </m:rPr>
                <m:t>,</m:t>
              </m:r>
              <m:r>
                <m:t>C</m:t>
              </m:r>
              <m:r>
                <m:rPr>
                  <m:sty m:val="p"/>
                </m:rPr>
                <m:t>=</m:t>
              </m:r>
              <m:r>
                <m:t>c</m:t>
              </m:r>
              <m:r>
                <m:t> </m:t>
              </m:r>
              <m:r>
                <m:rPr>
                  <m:sty m:val="p"/>
                </m:rPr>
                <m:t>|</m:t>
              </m:r>
              <m:r>
                <m:t> </m:t>
              </m:r>
              <m:r>
                <m:t>S</m:t>
              </m:r>
              <m:r>
                <m:rPr>
                  <m:sty m:val="p"/>
                </m:rPr>
                <m:t>=</m:t>
              </m:r>
              <m:r>
                <m:t>s</m:t>
              </m:r>
              <m:sSup>
                <m:e>
                  <m:r>
                    <m:rPr>
                      <m:sty m:val="p"/>
                    </m:rPr>
                    <m:t>)</m:t>
                  </m:r>
                </m:e>
                <m:sup>
                  <m:sSub>
                    <m:e>
                      <m:r>
                        <m:t>N</m:t>
                      </m:r>
                    </m:e>
                    <m:sub>
                      <m:r>
                        <m:t>s</m:t>
                      </m:r>
                      <m:r>
                        <m:rPr>
                          <m:sty m:val="p"/>
                        </m:rPr>
                        <m:t>,</m:t>
                      </m:r>
                      <m:r>
                        <m:t>r</m:t>
                      </m:r>
                      <m:r>
                        <m:rPr>
                          <m:sty m:val="p"/>
                        </m:rPr>
                        <m:t>,</m:t>
                      </m:r>
                      <m:r>
                        <m:t>c</m:t>
                      </m:r>
                    </m:sub>
                  </m:sSub>
                </m:sup>
              </m:sSup>
            </m:e>
            <m:e>
              <m:r>
                <m:t>&amp;</m:t>
              </m:r>
              <m:r>
                <m:rPr>
                  <m:sty m:val="p"/>
                </m:rPr>
                <m:t>=</m:t>
              </m:r>
              <m:nary>
                <m:naryPr>
                  <m:chr m:val="∑"/>
                  <m:limLoc m:val="undOvr"/>
                  <m:subHide m:val="off"/>
                  <m:supHide m:val="on"/>
                </m:naryPr>
                <m:sub>
                  <m:r>
                    <m:t>s</m:t>
                  </m:r>
                  <m:r>
                    <m:rPr>
                      <m:sty m:val="p"/>
                    </m:rPr>
                    <m:t>,</m:t>
                  </m:r>
                  <m:r>
                    <m:t>r</m:t>
                  </m:r>
                  <m:r>
                    <m:rPr>
                      <m:sty m:val="p"/>
                    </m:rPr>
                    <m:t>,</m:t>
                  </m:r>
                  <m:r>
                    <m:t>c</m:t>
                  </m:r>
                </m:sub>
                <m:sup>
                  <m:r>
                    <m:t>​</m:t>
                  </m:r>
                </m:sup>
                <m:e>
                  <m:sSub>
                    <m:e>
                      <m:r>
                        <m:t>N</m:t>
                      </m:r>
                    </m:e>
                    <m:sub>
                      <m:r>
                        <m:t>s</m:t>
                      </m:r>
                      <m:r>
                        <m:rPr>
                          <m:sty m:val="p"/>
                        </m:rPr>
                        <m:t>,</m:t>
                      </m:r>
                      <m:r>
                        <m:t>r</m:t>
                      </m:r>
                      <m:r>
                        <m:rPr>
                          <m:sty m:val="p"/>
                        </m:rPr>
                        <m:t>,</m:t>
                      </m:r>
                      <m:r>
                        <m:t>c</m:t>
                      </m:r>
                    </m:sub>
                  </m:sSub>
                </m:e>
              </m:nary>
              <m:r>
                <m:rPr>
                  <m:sty m:val="p"/>
                </m:rPr>
                <m:t>log</m:t>
              </m:r>
              <m:r>
                <m:t>P</m:t>
              </m:r>
              <m:r>
                <m:rPr>
                  <m:sty m:val="p"/>
                </m:rPr>
                <m:t>(</m:t>
              </m:r>
              <m:r>
                <m:t>R</m:t>
              </m:r>
              <m:r>
                <m:rPr>
                  <m:sty m:val="p"/>
                </m:rPr>
                <m:t>=</m:t>
              </m:r>
              <m:r>
                <m:t>r</m:t>
              </m:r>
              <m:r>
                <m:rPr>
                  <m:sty m:val="p"/>
                </m:rPr>
                <m:t>,</m:t>
              </m:r>
              <m:r>
                <m:t>C</m:t>
              </m:r>
              <m:r>
                <m:rPr>
                  <m:sty m:val="p"/>
                </m:rPr>
                <m:t>=</m:t>
              </m:r>
              <m:r>
                <m:t>c</m:t>
              </m:r>
              <m:r>
                <m:t> </m:t>
              </m:r>
              <m:r>
                <m:rPr>
                  <m:sty m:val="p"/>
                </m:rPr>
                <m:t>|</m:t>
              </m:r>
              <m:r>
                <m:t> </m:t>
              </m:r>
              <m:r>
                <m:t>S</m:t>
              </m:r>
              <m:r>
                <m:rPr>
                  <m:sty m:val="p"/>
                </m:rPr>
                <m:t>=</m:t>
              </m:r>
              <m:r>
                <m:t>s</m:t>
              </m:r>
              <m:r>
                <m:rPr>
                  <m:sty m:val="p"/>
                </m:rPr>
                <m:t>)</m:t>
              </m:r>
            </m:e>
          </m:eqArr>
        </m:oMath>
      </m:oMathPara>
    </w:p>
    <w:p>
      <w:pPr>
        <w:pStyle w:val="FirstParagraph"/>
      </w:pPr>
      <w:r>
        <w:t xml:space="preserve">In both cases, the likelihood reduces to a sum over the log joint probability of a Type I and Type II response given a stimulus. To further increase numerical stability, the</w:t>
      </w:r>
      <w:r>
        <w:t xml:space="preserve"> </w:t>
      </w:r>
      <w:r>
        <w:rPr>
          <w:rStyle w:val="VerbatimChar"/>
        </w:rPr>
        <w:t xml:space="preserve">hmetad</w:t>
      </w:r>
      <w:r>
        <w:t xml:space="preserve"> </w:t>
      </w:r>
      <w:r>
        <w:t xml:space="preserve">package also computes these probabilities on the logarithmic scale. Where</w:t>
      </w:r>
      <w:r>
        <w:t xml:space="preserve"> </w:t>
      </w:r>
      <m:oMath>
        <m:sSub>
          <m:e>
            <m:r>
              <m:t>F</m:t>
            </m:r>
          </m:e>
          <m:sub>
            <m:r>
              <m:rPr>
                <m:scr m:val="script"/>
                <m:sty m:val="p"/>
              </m:rPr>
              <m:t>D</m:t>
            </m:r>
          </m:sub>
        </m:sSub>
      </m:oMath>
      <w:r>
        <w:t xml:space="preserve"> </w:t>
      </w:r>
      <w:r>
        <w:t xml:space="preserve">is the cumulative distribution function of</w:t>
      </w:r>
      <w:r>
        <w:t xml:space="preserve"> </w:t>
      </w:r>
      <m:oMath>
        <m:r>
          <m:rPr>
            <m:scr m:val="script"/>
            <m:sty m:val="p"/>
          </m:rPr>
          <m:t>D</m:t>
        </m:r>
      </m:oMath>
      <w:r>
        <w:t xml:space="preserve"> </w:t>
      </w:r>
      <w:r>
        <w:t xml:space="preserve">and</w:t>
      </w:r>
      <w:r>
        <w:t xml:space="preserve"> </w:t>
      </w:r>
      <m:oMath>
        <m:sSub>
          <m:e>
            <m:acc>
              <m:accPr>
                <m:chr m:val="‾"/>
              </m:accPr>
              <m:e>
                <m:r>
                  <m:t>F</m:t>
                </m:r>
              </m:e>
            </m:acc>
          </m:e>
          <m:sub>
            <m:r>
              <m:rPr>
                <m:scr m:val="script"/>
                <m:sty m:val="p"/>
              </m:rPr>
              <m:t>D</m:t>
            </m:r>
          </m:sub>
        </m:sSub>
      </m:oMath>
      <w:r>
        <w:t xml:space="preserve"> </w:t>
      </w:r>
      <w:r>
        <w:t xml:space="preserve">is its complementary cumulative distribution function:</w:t>
      </w:r>
    </w:p>
    <w:p>
      <w:pPr>
        <w:pStyle w:val="BodyText"/>
      </w:pPr>
      <m:oMathPara>
        <m:oMathParaPr>
          <m:jc m:val="center"/>
        </m:oMathParaPr>
        <m:oMath>
          <m:eqArr>
            <m:e>
              <m:r>
                <m:rPr>
                  <m:sty m:val="p"/>
                </m:rPr>
                <m:t>log</m:t>
              </m:r>
              <m:r>
                <m:t> </m:t>
              </m:r>
              <m:r>
                <m:t>&amp;</m:t>
              </m:r>
              <m:r>
                <m:t>P</m:t>
              </m:r>
              <m:r>
                <m:rPr>
                  <m:sty m:val="p"/>
                </m:rPr>
                <m:t>(</m:t>
              </m:r>
              <m:r>
                <m:t>R</m:t>
              </m:r>
              <m:r>
                <m:rPr>
                  <m:sty m:val="p"/>
                </m:rPr>
                <m:t>=</m:t>
              </m:r>
              <m:r>
                <m:t>r</m:t>
              </m:r>
              <m:r>
                <m:rPr>
                  <m:sty m:val="p"/>
                </m:rPr>
                <m:t>,</m:t>
              </m:r>
              <m:r>
                <m:t>C</m:t>
              </m:r>
              <m:r>
                <m:rPr>
                  <m:sty m:val="p"/>
                </m:rPr>
                <m:t>=</m:t>
              </m:r>
              <m:r>
                <m:t>c</m:t>
              </m:r>
              <m:r>
                <m:t> </m:t>
              </m:r>
              <m:r>
                <m:rPr>
                  <m:sty m:val="p"/>
                </m:rPr>
                <m:t>|</m:t>
              </m:r>
              <m:r>
                <m:t> </m:t>
              </m:r>
              <m:r>
                <m:t>S</m:t>
              </m:r>
              <m:r>
                <m:rPr>
                  <m:sty m:val="p"/>
                </m:rPr>
                <m:t>=</m:t>
              </m:r>
              <m:r>
                <m:t>s</m:t>
              </m:r>
              <m:r>
                <m:rPr>
                  <m:sty m:val="p"/>
                </m:rPr>
                <m:t>)</m:t>
              </m:r>
            </m:e>
            <m:e>
              <m:r>
                <m:t>&amp;</m:t>
              </m:r>
              <m:r>
                <m:rPr>
                  <m:sty m:val="p"/>
                </m:rPr>
                <m:t>=</m:t>
              </m:r>
              <m:r>
                <m:rPr>
                  <m:sty m:val="p"/>
                </m:rPr>
                <m:t>log</m:t>
              </m:r>
              <m:r>
                <m:t>P</m:t>
              </m:r>
              <m:r>
                <m:rPr>
                  <m:sty m:val="p"/>
                </m:rPr>
                <m:t>(</m:t>
              </m:r>
              <m:r>
                <m:t>R</m:t>
              </m:r>
              <m:r>
                <m:rPr>
                  <m:sty m:val="p"/>
                </m:rPr>
                <m:t>=</m:t>
              </m:r>
              <m:r>
                <m:t>r</m:t>
              </m:r>
              <m:r>
                <m:t> </m:t>
              </m:r>
              <m:r>
                <m:rPr>
                  <m:sty m:val="p"/>
                </m:rPr>
                <m:t>|</m:t>
              </m:r>
              <m:r>
                <m:t> </m:t>
              </m:r>
              <m:r>
                <m:t>S</m:t>
              </m:r>
              <m:r>
                <m:rPr>
                  <m:sty m:val="p"/>
                </m:rPr>
                <m:t>=</m:t>
              </m:r>
              <m:r>
                <m:t>s</m:t>
              </m:r>
              <m:r>
                <m:rPr>
                  <m:sty m:val="p"/>
                </m:rPr>
                <m:t>)</m:t>
              </m:r>
              <m:r>
                <m:rPr>
                  <m:sty m:val="p"/>
                </m:rPr>
                <m:t>+</m:t>
              </m:r>
              <m:r>
                <m:rPr>
                  <m:sty m:val="p"/>
                </m:rPr>
                <m:t>log</m:t>
              </m:r>
              <m:r>
                <m:t>P</m:t>
              </m:r>
              <m:r>
                <m:rPr>
                  <m:sty m:val="p"/>
                </m:rPr>
                <m:t>(</m:t>
              </m:r>
              <m:r>
                <m:t>C</m:t>
              </m:r>
              <m:r>
                <m:rPr>
                  <m:sty m:val="p"/>
                </m:rPr>
                <m:t>=</m:t>
              </m:r>
              <m:r>
                <m:t>c</m:t>
              </m:r>
              <m:r>
                <m:t> </m:t>
              </m:r>
              <m:r>
                <m:rPr>
                  <m:sty m:val="p"/>
                </m:rPr>
                <m:t>|</m:t>
              </m:r>
              <m:r>
                <m:t> </m:t>
              </m:r>
              <m:r>
                <m:t>S</m:t>
              </m:r>
              <m:r>
                <m:rPr>
                  <m:sty m:val="p"/>
                </m:rPr>
                <m:t>=</m:t>
              </m:r>
              <m:r>
                <m:t>s</m:t>
              </m:r>
              <m:r>
                <m:rPr>
                  <m:sty m:val="p"/>
                </m:rPr>
                <m:t>,</m:t>
              </m:r>
              <m:r>
                <m:t>R</m:t>
              </m:r>
              <m:r>
                <m:rPr>
                  <m:sty m:val="p"/>
                </m:rPr>
                <m:t>=</m:t>
              </m:r>
              <m:r>
                <m:t>r</m:t>
              </m:r>
              <m:r>
                <m:rPr>
                  <m:sty m:val="p"/>
                </m:rPr>
                <m:t>)</m:t>
              </m:r>
            </m:e>
            <m:e>
              <m:r>
                <m:t>&amp;</m:t>
              </m:r>
              <m:r>
                <m:rPr>
                  <m:sty m:val="p"/>
                </m:rPr>
                <m:t>=</m:t>
              </m:r>
              <m:d>
                <m:dPr>
                  <m:begChr m:val="{"/>
                  <m:sepChr m:val=""/>
                  <m:endChr m:val=""/>
                  <m:grow/>
                </m:dPr>
                <m:e>
                  <m:m>
                    <m:mPr>
                      <m:baseJc m:val="center"/>
                      <m:plcHide m:val="on"/>
                      <m:mcs>
                        <m:mc>
                          <m:mcPr>
                            <m:mcJc m:val="left"/>
                            <m:count m:val="1"/>
                          </m:mcPr>
                        </m:mc>
                        <m:mc>
                          <m:mcPr>
                            <m:mcJc m:val="left"/>
                            <m:count m:val="1"/>
                          </m:mcPr>
                        </m:mc>
                      </m:mcs>
                    </m:mPr>
                    <m:mr>
                      <m:e>
                        <m:eqArr>
                          <m:e>
                            <m:r>
                              <m:rPr>
                                <m:sty m:val="p"/>
                              </m:rPr>
                              <m:t>log</m:t>
                            </m:r>
                            <m:r>
                              <m:t>&amp;</m:t>
                            </m:r>
                            <m:d>
                              <m:dPr>
                                <m:begChr m:val="["/>
                                <m:sepChr m:val=""/>
                                <m:endChr m:val="]"/>
                                <m:grow/>
                              </m:dPr>
                              <m:e>
                                <m:sSub>
                                  <m:e>
                                    <m:r>
                                      <m:t>F</m:t>
                                    </m:r>
                                  </m:e>
                                  <m:sub>
                                    <m:sSub>
                                      <m:e>
                                        <m:r>
                                          <m:rPr>
                                            <m:scr m:val="script"/>
                                            <m:sty m:val="p"/>
                                          </m:rPr>
                                          <m:t>D</m:t>
                                        </m:r>
                                      </m:e>
                                      <m:sub>
                                        <m:r>
                                          <m:t>s</m:t>
                                        </m:r>
                                      </m:sub>
                                    </m:sSub>
                                    <m:r>
                                      <m:rPr>
                                        <m:sty m:val="p"/>
                                      </m:rPr>
                                      <m:t>(</m:t>
                                    </m:r>
                                    <m:sSup>
                                      <m:e>
                                        <m:r>
                                          <m:t>d</m:t>
                                        </m:r>
                                      </m:e>
                                      <m:sup>
                                        <m:r>
                                          <m:rPr>
                                            <m:sty m:val="p"/>
                                          </m:rPr>
                                          <m:t>′</m:t>
                                        </m:r>
                                      </m:sup>
                                    </m:sSup>
                                    <m:r>
                                      <m:rPr>
                                        <m:sty m:val="p"/>
                                      </m:rPr>
                                      <m:t>)</m:t>
                                    </m:r>
                                  </m:sub>
                                </m:sSub>
                                <m:r>
                                  <m:rPr>
                                    <m:sty m:val="p"/>
                                  </m:rPr>
                                  <m:t>(</m:t>
                                </m:r>
                                <m:r>
                                  <m:t>c</m:t>
                                </m:r>
                                <m:r>
                                  <m:rPr>
                                    <m:sty m:val="p"/>
                                  </m:rPr>
                                  <m:t>)</m:t>
                                </m:r>
                              </m:e>
                            </m:d>
                          </m:e>
                          <m:e>
                            <m:r>
                              <m:t>&amp;</m:t>
                            </m:r>
                            <m:r>
                              <m:rPr>
                                <m:sty m:val="p"/>
                              </m:rPr>
                              <m:t>+</m:t>
                            </m:r>
                            <m:r>
                              <m:rPr>
                                <m:sty m:val="p"/>
                              </m:rPr>
                              <m:t>log</m:t>
                            </m:r>
                            <m:d>
                              <m:dPr>
                                <m:begChr m:val="["/>
                                <m:sepChr m:val=""/>
                                <m:endChr m:val="]"/>
                                <m:grow/>
                              </m:dPr>
                              <m:e>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r>
                                      <m:t>c</m:t>
                                    </m:r>
                                  </m:e>
                                </m:d>
                                <m:r>
                                  <m:rPr>
                                    <m:sty m:val="p"/>
                                  </m:rPr>
                                  <m:t>−</m:t>
                                </m:r>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sSubSup>
                                      <m:e>
                                        <m:r>
                                          <m:t>c</m:t>
                                        </m:r>
                                      </m:e>
                                      <m:sub>
                                        <m:r>
                                          <m:t>2</m:t>
                                        </m:r>
                                        <m:r>
                                          <m:rPr>
                                            <m:sty m:val="p"/>
                                          </m:rPr>
                                          <m:t>,</m:t>
                                        </m:r>
                                        <m:r>
                                          <m:t>1</m:t>
                                        </m:r>
                                      </m:sub>
                                      <m:sup>
                                        <m:r>
                                          <m:t>0</m:t>
                                        </m:r>
                                      </m:sup>
                                    </m:sSubSup>
                                  </m:e>
                                </m:d>
                              </m:e>
                            </m:d>
                          </m:e>
                          <m:e>
                            <m:r>
                              <m:t>&amp;</m:t>
                            </m:r>
                            <m:r>
                              <m:rPr>
                                <m:sty m:val="p"/>
                              </m:rPr>
                              <m:t>−</m:t>
                            </m:r>
                            <m:r>
                              <m:rPr>
                                <m:sty m:val="p"/>
                              </m:rPr>
                              <m:t>log</m:t>
                            </m:r>
                            <m:d>
                              <m:dPr>
                                <m:begChr m:val="["/>
                                <m:sepChr m:val=""/>
                                <m:endChr m:val="]"/>
                                <m:grow/>
                              </m:dPr>
                              <m:e>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r>
                                      <m:t>c</m:t>
                                    </m:r>
                                  </m:e>
                                </m:d>
                              </m:e>
                            </m:d>
                          </m:e>
                        </m:eqArr>
                      </m:e>
                      <m:e>
                        <m:r>
                          <m:rPr>
                            <m:nor/>
                            <m:sty m:val="p"/>
                          </m:rPr>
                          <m:t>if </m:t>
                        </m:r>
                        <m:r>
                          <m:t>r</m:t>
                        </m:r>
                        <m:r>
                          <m:rPr>
                            <m:sty m:val="p"/>
                          </m:rPr>
                          <m:t>=</m:t>
                        </m:r>
                        <m:r>
                          <m:t>0</m:t>
                        </m:r>
                        <m:r>
                          <m:rPr>
                            <m:sty m:val="p"/>
                          </m:rPr>
                          <m:t>,</m:t>
                        </m:r>
                        <m:r>
                          <m:t>c</m:t>
                        </m:r>
                        <m:r>
                          <m:rPr>
                            <m:sty m:val="p"/>
                          </m:rPr>
                          <m:t>=</m:t>
                        </m:r>
                        <m:r>
                          <m:t>1</m:t>
                        </m:r>
                      </m:e>
                    </m:mr>
                    <m:mr>
                      <m:e>
                        <m:eqArr>
                          <m:e>
                            <m:r>
                              <m:rPr>
                                <m:sty m:val="p"/>
                              </m:rPr>
                              <m:t>log</m:t>
                            </m:r>
                            <m:r>
                              <m:t>&amp;</m:t>
                            </m:r>
                            <m:d>
                              <m:dPr>
                                <m:begChr m:val="["/>
                                <m:sepChr m:val=""/>
                                <m:endChr m:val="]"/>
                                <m:grow/>
                              </m:dPr>
                              <m:e>
                                <m:sSub>
                                  <m:e>
                                    <m:r>
                                      <m:t>F</m:t>
                                    </m:r>
                                  </m:e>
                                  <m:sub>
                                    <m:sSub>
                                      <m:e>
                                        <m:r>
                                          <m:rPr>
                                            <m:scr m:val="script"/>
                                            <m:sty m:val="p"/>
                                          </m:rPr>
                                          <m:t>D</m:t>
                                        </m:r>
                                      </m:e>
                                      <m:sub>
                                        <m:r>
                                          <m:t>s</m:t>
                                        </m:r>
                                      </m:sub>
                                    </m:sSub>
                                    <m:r>
                                      <m:rPr>
                                        <m:sty m:val="p"/>
                                      </m:rPr>
                                      <m:t>(</m:t>
                                    </m:r>
                                    <m:sSup>
                                      <m:e>
                                        <m:r>
                                          <m:t>d</m:t>
                                        </m:r>
                                      </m:e>
                                      <m:sup>
                                        <m:r>
                                          <m:rPr>
                                            <m:sty m:val="p"/>
                                          </m:rPr>
                                          <m:t>′</m:t>
                                        </m:r>
                                      </m:sup>
                                    </m:sSup>
                                    <m:r>
                                      <m:rPr>
                                        <m:sty m:val="p"/>
                                      </m:rPr>
                                      <m:t>)</m:t>
                                    </m:r>
                                  </m:sub>
                                </m:sSub>
                                <m:r>
                                  <m:rPr>
                                    <m:sty m:val="p"/>
                                  </m:rPr>
                                  <m:t>(</m:t>
                                </m:r>
                                <m:r>
                                  <m:t>c</m:t>
                                </m:r>
                                <m:r>
                                  <m:rPr>
                                    <m:sty m:val="p"/>
                                  </m:rPr>
                                  <m:t>)</m:t>
                                </m:r>
                              </m:e>
                            </m:d>
                          </m:e>
                          <m:e>
                            <m:r>
                              <m:t>&amp;</m:t>
                            </m:r>
                            <m:r>
                              <m:rPr>
                                <m:sty m:val="p"/>
                              </m:rPr>
                              <m:t>+</m:t>
                            </m:r>
                            <m:r>
                              <m:rPr>
                                <m:sty m:val="p"/>
                              </m:rPr>
                              <m:t>log</m:t>
                            </m:r>
                            <m:d>
                              <m:dPr>
                                <m:begChr m:val="["/>
                                <m:sepChr m:val=""/>
                                <m:endChr m:val="]"/>
                                <m:grow/>
                              </m:dPr>
                              <m:e>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sSubSup>
                                      <m:e>
                                        <m:r>
                                          <m:t>c</m:t>
                                        </m:r>
                                      </m:e>
                                      <m:sub>
                                        <m:r>
                                          <m:t>2</m:t>
                                        </m:r>
                                        <m:r>
                                          <m:rPr>
                                            <m:sty m:val="p"/>
                                          </m:rPr>
                                          <m:t>,</m:t>
                                        </m:r>
                                        <m:r>
                                          <m:t>k</m:t>
                                        </m:r>
                                      </m:sub>
                                      <m:sup>
                                        <m:r>
                                          <m:t>0</m:t>
                                        </m:r>
                                      </m:sup>
                                    </m:sSubSup>
                                  </m:e>
                                </m:d>
                                <m:r>
                                  <m:rPr>
                                    <m:sty m:val="p"/>
                                  </m:rPr>
                                  <m:t>−</m:t>
                                </m:r>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sSubSup>
                                      <m:e>
                                        <m:r>
                                          <m:t>c</m:t>
                                        </m:r>
                                      </m:e>
                                      <m:sub>
                                        <m:r>
                                          <m:t>2</m:t>
                                        </m:r>
                                        <m:r>
                                          <m:rPr>
                                            <m:sty m:val="p"/>
                                          </m:rPr>
                                          <m:t>,</m:t>
                                        </m:r>
                                        <m:r>
                                          <m:t>k</m:t>
                                        </m:r>
                                        <m:r>
                                          <m:rPr>
                                            <m:sty m:val="p"/>
                                          </m:rPr>
                                          <m:t>+</m:t>
                                        </m:r>
                                        <m:r>
                                          <m:t>1</m:t>
                                        </m:r>
                                      </m:sub>
                                      <m:sup>
                                        <m:r>
                                          <m:t>0</m:t>
                                        </m:r>
                                      </m:sup>
                                    </m:sSubSup>
                                  </m:e>
                                </m:d>
                              </m:e>
                            </m:d>
                          </m:e>
                          <m:e>
                            <m:r>
                              <m:t>&amp;</m:t>
                            </m:r>
                            <m:r>
                              <m:rPr>
                                <m:sty m:val="p"/>
                              </m:rPr>
                              <m:t>−</m:t>
                            </m:r>
                            <m:r>
                              <m:rPr>
                                <m:sty m:val="p"/>
                              </m:rPr>
                              <m:t>log</m:t>
                            </m:r>
                            <m:d>
                              <m:dPr>
                                <m:begChr m:val="["/>
                                <m:sepChr m:val=""/>
                                <m:endChr m:val="]"/>
                                <m:grow/>
                              </m:dPr>
                              <m:e>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r>
                                      <m:t>c</m:t>
                                    </m:r>
                                  </m:e>
                                </m:d>
                              </m:e>
                            </m:d>
                          </m:e>
                        </m:eqArr>
                      </m:e>
                      <m:e>
                        <m:r>
                          <m:rPr>
                            <m:nor/>
                            <m:sty m:val="p"/>
                          </m:rPr>
                          <m:t>if </m:t>
                        </m:r>
                        <m:r>
                          <m:t>r</m:t>
                        </m:r>
                        <m:r>
                          <m:rPr>
                            <m:sty m:val="p"/>
                          </m:rPr>
                          <m:t>=</m:t>
                        </m:r>
                        <m:r>
                          <m:t>0</m:t>
                        </m:r>
                        <m:r>
                          <m:rPr>
                            <m:sty m:val="p"/>
                          </m:rPr>
                          <m:t>,</m:t>
                        </m:r>
                        <m:r>
                          <m:t>1</m:t>
                        </m:r>
                        <m:r>
                          <m:rPr>
                            <m:sty m:val="p"/>
                          </m:rPr>
                          <m:t>≤</m:t>
                        </m:r>
                        <m:r>
                          <m:t>c</m:t>
                        </m:r>
                        <m:r>
                          <m:rPr>
                            <m:sty m:val="p"/>
                          </m:rPr>
                          <m:t>≤</m:t>
                        </m:r>
                        <m:r>
                          <m:t>K</m:t>
                        </m:r>
                      </m:e>
                    </m:mr>
                    <m:mr>
                      <m:e>
                        <m:eqArr>
                          <m:e>
                            <m:r>
                              <m:rPr>
                                <m:sty m:val="p"/>
                              </m:rPr>
                              <m:t>log</m:t>
                            </m:r>
                            <m:r>
                              <m:t>&amp;</m:t>
                            </m:r>
                            <m:d>
                              <m:dPr>
                                <m:begChr m:val="["/>
                                <m:sepChr m:val=""/>
                                <m:endChr m:val="]"/>
                                <m:grow/>
                              </m:dPr>
                              <m:e>
                                <m:sSub>
                                  <m:e>
                                    <m:r>
                                      <m:t>F</m:t>
                                    </m:r>
                                  </m:e>
                                  <m:sub>
                                    <m:sSub>
                                      <m:e>
                                        <m:r>
                                          <m:rPr>
                                            <m:scr m:val="script"/>
                                            <m:sty m:val="p"/>
                                          </m:rPr>
                                          <m:t>D</m:t>
                                        </m:r>
                                      </m:e>
                                      <m:sub>
                                        <m:r>
                                          <m:t>s</m:t>
                                        </m:r>
                                      </m:sub>
                                    </m:sSub>
                                    <m:r>
                                      <m:rPr>
                                        <m:sty m:val="p"/>
                                      </m:rPr>
                                      <m:t>(</m:t>
                                    </m:r>
                                    <m:sSup>
                                      <m:e>
                                        <m:r>
                                          <m:t>d</m:t>
                                        </m:r>
                                      </m:e>
                                      <m:sup>
                                        <m:r>
                                          <m:rPr>
                                            <m:sty m:val="p"/>
                                          </m:rPr>
                                          <m:t>′</m:t>
                                        </m:r>
                                      </m:sup>
                                    </m:sSup>
                                    <m:r>
                                      <m:rPr>
                                        <m:sty m:val="p"/>
                                      </m:rPr>
                                      <m:t>)</m:t>
                                    </m:r>
                                  </m:sub>
                                </m:sSub>
                                <m:r>
                                  <m:rPr>
                                    <m:sty m:val="p"/>
                                  </m:rPr>
                                  <m:t>(</m:t>
                                </m:r>
                                <m:r>
                                  <m:t>c</m:t>
                                </m:r>
                                <m:r>
                                  <m:rPr>
                                    <m:sty m:val="p"/>
                                  </m:rPr>
                                  <m:t>)</m:t>
                                </m:r>
                              </m:e>
                            </m:d>
                          </m:e>
                          <m:e>
                            <m:r>
                              <m:t>&amp;</m:t>
                            </m:r>
                            <m:r>
                              <m:rPr>
                                <m:sty m:val="p"/>
                              </m:rPr>
                              <m:t>+</m:t>
                            </m:r>
                            <m:r>
                              <m:rPr>
                                <m:sty m:val="p"/>
                              </m:rPr>
                              <m:t>log</m:t>
                            </m:r>
                            <m:d>
                              <m:dPr>
                                <m:begChr m:val="["/>
                                <m:sepChr m:val=""/>
                                <m:endChr m:val="]"/>
                                <m:grow/>
                              </m:dPr>
                              <m:e>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sSubSup>
                                      <m:e>
                                        <m:r>
                                          <m:t>c</m:t>
                                        </m:r>
                                      </m:e>
                                      <m:sub>
                                        <m:r>
                                          <m:t>2</m:t>
                                        </m:r>
                                        <m:r>
                                          <m:rPr>
                                            <m:sty m:val="p"/>
                                          </m:rPr>
                                          <m:t>,</m:t>
                                        </m:r>
                                        <m:r>
                                          <m:t>K</m:t>
                                        </m:r>
                                      </m:sub>
                                      <m:sup>
                                        <m:r>
                                          <m:t>0</m:t>
                                        </m:r>
                                      </m:sup>
                                    </m:sSubSup>
                                  </m:e>
                                </m:d>
                              </m:e>
                            </m:d>
                          </m:e>
                          <m:e>
                            <m:r>
                              <m:t>&amp;</m:t>
                            </m:r>
                            <m:r>
                              <m:rPr>
                                <m:sty m:val="p"/>
                              </m:rPr>
                              <m:t>−</m:t>
                            </m:r>
                            <m:r>
                              <m:rPr>
                                <m:sty m:val="p"/>
                              </m:rPr>
                              <m:t>log</m:t>
                            </m:r>
                            <m:d>
                              <m:dPr>
                                <m:begChr m:val="["/>
                                <m:sepChr m:val=""/>
                                <m:endChr m:val="]"/>
                                <m:grow/>
                              </m:dPr>
                              <m:e>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r>
                                      <m:t>c</m:t>
                                    </m:r>
                                  </m:e>
                                </m:d>
                              </m:e>
                            </m:d>
                          </m:e>
                        </m:eqArr>
                      </m:e>
                      <m:e>
                        <m:r>
                          <m:rPr>
                            <m:nor/>
                            <m:sty m:val="p"/>
                          </m:rPr>
                          <m:t>if </m:t>
                        </m:r>
                        <m:r>
                          <m:t>r</m:t>
                        </m:r>
                        <m:r>
                          <m:rPr>
                            <m:sty m:val="p"/>
                          </m:rPr>
                          <m:t>=</m:t>
                        </m:r>
                        <m:r>
                          <m:t>0</m:t>
                        </m:r>
                        <m:r>
                          <m:rPr>
                            <m:sty m:val="p"/>
                          </m:rPr>
                          <m:t>,</m:t>
                        </m:r>
                        <m:r>
                          <m:t>c</m:t>
                        </m:r>
                        <m:r>
                          <m:rPr>
                            <m:sty m:val="p"/>
                          </m:rPr>
                          <m:t>=</m:t>
                        </m:r>
                        <m:r>
                          <m:t>K</m:t>
                        </m:r>
                      </m:e>
                    </m:mr>
                    <m:mr>
                      <m:e>
                        <m:eqArr>
                          <m:e>
                            <m:r>
                              <m:rPr>
                                <m:sty m:val="p"/>
                              </m:rPr>
                              <m:t>log</m:t>
                            </m:r>
                            <m:r>
                              <m:t>&amp;</m:t>
                            </m:r>
                            <m:d>
                              <m:dPr>
                                <m:begChr m:val="["/>
                                <m:sepChr m:val=""/>
                                <m:endChr m:val="]"/>
                                <m:grow/>
                              </m:dPr>
                              <m:e>
                                <m:sSub>
                                  <m:e>
                                    <m:acc>
                                      <m:accPr>
                                        <m:chr m:val="‾"/>
                                      </m:accPr>
                                      <m:e>
                                        <m:r>
                                          <m:t>F</m:t>
                                        </m:r>
                                      </m:e>
                                    </m:acc>
                                  </m:e>
                                  <m:sub>
                                    <m:sSub>
                                      <m:e>
                                        <m:r>
                                          <m:rPr>
                                            <m:scr m:val="script"/>
                                            <m:sty m:val="p"/>
                                          </m:rPr>
                                          <m:t>D</m:t>
                                        </m:r>
                                      </m:e>
                                      <m:sub>
                                        <m:r>
                                          <m:t>s</m:t>
                                        </m:r>
                                      </m:sub>
                                    </m:sSub>
                                    <m:r>
                                      <m:rPr>
                                        <m:sty m:val="p"/>
                                      </m:rPr>
                                      <m:t>(</m:t>
                                    </m:r>
                                    <m:sSup>
                                      <m:e>
                                        <m:r>
                                          <m:t>d</m:t>
                                        </m:r>
                                      </m:e>
                                      <m:sup>
                                        <m:r>
                                          <m:rPr>
                                            <m:sty m:val="p"/>
                                          </m:rPr>
                                          <m:t>′</m:t>
                                        </m:r>
                                      </m:sup>
                                    </m:sSup>
                                    <m:r>
                                      <m:rPr>
                                        <m:sty m:val="p"/>
                                      </m:rPr>
                                      <m:t>)</m:t>
                                    </m:r>
                                  </m:sub>
                                </m:sSub>
                                <m:r>
                                  <m:rPr>
                                    <m:sty m:val="p"/>
                                  </m:rPr>
                                  <m:t>(</m:t>
                                </m:r>
                                <m:r>
                                  <m:t>c</m:t>
                                </m:r>
                                <m:r>
                                  <m:rPr>
                                    <m:sty m:val="p"/>
                                  </m:rPr>
                                  <m:t>)</m:t>
                                </m:r>
                              </m:e>
                            </m:d>
                          </m:e>
                          <m:e>
                            <m:r>
                              <m:t>&amp;</m:t>
                            </m:r>
                            <m:r>
                              <m:rPr>
                                <m:sty m:val="p"/>
                              </m:rPr>
                              <m:t>+</m:t>
                            </m:r>
                            <m:r>
                              <m:rPr>
                                <m:sty m:val="p"/>
                              </m:rPr>
                              <m:t>log</m:t>
                            </m:r>
                            <m:d>
                              <m:dPr>
                                <m:begChr m:val="["/>
                                <m:sepChr m:val=""/>
                                <m:endChr m:val="]"/>
                                <m:grow/>
                              </m:dPr>
                              <m:e>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sSubSup>
                                      <m:e>
                                        <m:r>
                                          <m:t>c</m:t>
                                        </m:r>
                                      </m:e>
                                      <m:sub>
                                        <m:r>
                                          <m:t>2</m:t>
                                        </m:r>
                                        <m:r>
                                          <m:rPr>
                                            <m:sty m:val="p"/>
                                          </m:rPr>
                                          <m:t>,</m:t>
                                        </m:r>
                                        <m:r>
                                          <m:t>1</m:t>
                                        </m:r>
                                      </m:sub>
                                      <m:sup>
                                        <m:r>
                                          <m:t>1</m:t>
                                        </m:r>
                                      </m:sup>
                                    </m:sSubSup>
                                  </m:e>
                                </m:d>
                                <m:r>
                                  <m:rPr>
                                    <m:sty m:val="p"/>
                                  </m:rPr>
                                  <m:t>−</m:t>
                                </m:r>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r>
                                      <m:t>c</m:t>
                                    </m:r>
                                  </m:e>
                                </m:d>
                              </m:e>
                            </m:d>
                          </m:e>
                          <m:e>
                            <m:r>
                              <m:t>&amp;</m:t>
                            </m:r>
                            <m:r>
                              <m:rPr>
                                <m:sty m:val="p"/>
                              </m:rPr>
                              <m:t>−</m:t>
                            </m:r>
                            <m:r>
                              <m:rPr>
                                <m:sty m:val="p"/>
                              </m:rPr>
                              <m:t>log</m:t>
                            </m:r>
                            <m:d>
                              <m:dPr>
                                <m:begChr m:val="["/>
                                <m:sepChr m:val=""/>
                                <m:endChr m:val="]"/>
                                <m:grow/>
                              </m:dPr>
                              <m:e>
                                <m:sSub>
                                  <m:e>
                                    <m:acc>
                                      <m:accPr>
                                        <m:chr m:val="‾"/>
                                      </m:accPr>
                                      <m:e>
                                        <m:r>
                                          <m:t>F</m:t>
                                        </m:r>
                                      </m:e>
                                    </m:acc>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r>
                                      <m:t>c</m:t>
                                    </m:r>
                                  </m:e>
                                </m:d>
                              </m:e>
                            </m:d>
                          </m:e>
                        </m:eqArr>
                      </m:e>
                      <m:e>
                        <m:r>
                          <m:rPr>
                            <m:nor/>
                            <m:sty m:val="p"/>
                          </m:rPr>
                          <m:t>if </m:t>
                        </m:r>
                        <m:r>
                          <m:t>r</m:t>
                        </m:r>
                        <m:r>
                          <m:rPr>
                            <m:sty m:val="p"/>
                          </m:rPr>
                          <m:t>=</m:t>
                        </m:r>
                        <m:r>
                          <m:t>1</m:t>
                        </m:r>
                        <m:r>
                          <m:rPr>
                            <m:sty m:val="p"/>
                          </m:rPr>
                          <m:t>,</m:t>
                        </m:r>
                        <m:r>
                          <m:t>c</m:t>
                        </m:r>
                        <m:r>
                          <m:rPr>
                            <m:sty m:val="p"/>
                          </m:rPr>
                          <m:t>=</m:t>
                        </m:r>
                        <m:r>
                          <m:t>1</m:t>
                        </m:r>
                      </m:e>
                    </m:mr>
                    <m:mr>
                      <m:e>
                        <m:eqArr>
                          <m:e>
                            <m:r>
                              <m:rPr>
                                <m:sty m:val="p"/>
                              </m:rPr>
                              <m:t>log</m:t>
                            </m:r>
                            <m:r>
                              <m:t>&amp;</m:t>
                            </m:r>
                            <m:d>
                              <m:dPr>
                                <m:begChr m:val="["/>
                                <m:sepChr m:val=""/>
                                <m:endChr m:val="]"/>
                                <m:grow/>
                              </m:dPr>
                              <m:e>
                                <m:sSub>
                                  <m:e>
                                    <m:acc>
                                      <m:accPr>
                                        <m:chr m:val="‾"/>
                                      </m:accPr>
                                      <m:e>
                                        <m:r>
                                          <m:t>F</m:t>
                                        </m:r>
                                      </m:e>
                                    </m:acc>
                                  </m:e>
                                  <m:sub>
                                    <m:sSub>
                                      <m:e>
                                        <m:r>
                                          <m:rPr>
                                            <m:scr m:val="script"/>
                                            <m:sty m:val="p"/>
                                          </m:rPr>
                                          <m:t>D</m:t>
                                        </m:r>
                                      </m:e>
                                      <m:sub>
                                        <m:r>
                                          <m:t>s</m:t>
                                        </m:r>
                                      </m:sub>
                                    </m:sSub>
                                    <m:r>
                                      <m:rPr>
                                        <m:sty m:val="p"/>
                                      </m:rPr>
                                      <m:t>(</m:t>
                                    </m:r>
                                    <m:sSup>
                                      <m:e>
                                        <m:r>
                                          <m:t>d</m:t>
                                        </m:r>
                                      </m:e>
                                      <m:sup>
                                        <m:r>
                                          <m:rPr>
                                            <m:sty m:val="p"/>
                                          </m:rPr>
                                          <m:t>′</m:t>
                                        </m:r>
                                      </m:sup>
                                    </m:sSup>
                                    <m:r>
                                      <m:rPr>
                                        <m:sty m:val="p"/>
                                      </m:rPr>
                                      <m:t>)</m:t>
                                    </m:r>
                                  </m:sub>
                                </m:sSub>
                                <m:r>
                                  <m:rPr>
                                    <m:sty m:val="p"/>
                                  </m:rPr>
                                  <m:t>(</m:t>
                                </m:r>
                                <m:r>
                                  <m:t>c</m:t>
                                </m:r>
                                <m:r>
                                  <m:rPr>
                                    <m:sty m:val="p"/>
                                  </m:rPr>
                                  <m:t>)</m:t>
                                </m:r>
                              </m:e>
                            </m:d>
                          </m:e>
                          <m:e>
                            <m:r>
                              <m:t>&amp;</m:t>
                            </m:r>
                            <m:r>
                              <m:rPr>
                                <m:sty m:val="p"/>
                              </m:rPr>
                              <m:t>+</m:t>
                            </m:r>
                            <m:r>
                              <m:rPr>
                                <m:sty m:val="p"/>
                              </m:rPr>
                              <m:t>log</m:t>
                            </m:r>
                            <m:d>
                              <m:dPr>
                                <m:begChr m:val="["/>
                                <m:sepChr m:val=""/>
                                <m:endChr m:val="]"/>
                                <m:grow/>
                              </m:dPr>
                              <m:e>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sSubSup>
                                      <m:e>
                                        <m:r>
                                          <m:t>c</m:t>
                                        </m:r>
                                      </m:e>
                                      <m:sub>
                                        <m:r>
                                          <m:t>2</m:t>
                                        </m:r>
                                        <m:r>
                                          <m:rPr>
                                            <m:sty m:val="p"/>
                                          </m:rPr>
                                          <m:t>,</m:t>
                                        </m:r>
                                        <m:r>
                                          <m:t>k</m:t>
                                        </m:r>
                                        <m:r>
                                          <m:rPr>
                                            <m:sty m:val="p"/>
                                          </m:rPr>
                                          <m:t>+</m:t>
                                        </m:r>
                                        <m:r>
                                          <m:t>1</m:t>
                                        </m:r>
                                      </m:sub>
                                      <m:sup>
                                        <m:r>
                                          <m:t>1</m:t>
                                        </m:r>
                                      </m:sup>
                                    </m:sSubSup>
                                  </m:e>
                                </m:d>
                                <m:r>
                                  <m:rPr>
                                    <m:sty m:val="p"/>
                                  </m:rPr>
                                  <m:t>−</m:t>
                                </m:r>
                                <m:sSub>
                                  <m:e>
                                    <m:r>
                                      <m:t>F</m:t>
                                    </m:r>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sSubSup>
                                      <m:e>
                                        <m:r>
                                          <m:t>c</m:t>
                                        </m:r>
                                      </m:e>
                                      <m:sub>
                                        <m:r>
                                          <m:t>2</m:t>
                                        </m:r>
                                        <m:r>
                                          <m:rPr>
                                            <m:sty m:val="p"/>
                                          </m:rPr>
                                          <m:t>,</m:t>
                                        </m:r>
                                        <m:r>
                                          <m:t>k</m:t>
                                        </m:r>
                                      </m:sub>
                                      <m:sup>
                                        <m:r>
                                          <m:t>1</m:t>
                                        </m:r>
                                      </m:sup>
                                    </m:sSubSup>
                                  </m:e>
                                </m:d>
                              </m:e>
                            </m:d>
                          </m:e>
                          <m:e>
                            <m:r>
                              <m:t>&amp;</m:t>
                            </m:r>
                            <m:r>
                              <m:rPr>
                                <m:sty m:val="p"/>
                              </m:rPr>
                              <m:t>−</m:t>
                            </m:r>
                            <m:r>
                              <m:rPr>
                                <m:sty m:val="p"/>
                              </m:rPr>
                              <m:t>log</m:t>
                            </m:r>
                            <m:d>
                              <m:dPr>
                                <m:begChr m:val="["/>
                                <m:sepChr m:val=""/>
                                <m:endChr m:val="]"/>
                                <m:grow/>
                              </m:dPr>
                              <m:e>
                                <m:sSub>
                                  <m:e>
                                    <m:acc>
                                      <m:accPr>
                                        <m:chr m:val="‾"/>
                                      </m:accPr>
                                      <m:e>
                                        <m:r>
                                          <m:t>F</m:t>
                                        </m:r>
                                      </m:e>
                                    </m:acc>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r>
                                      <m:t>c</m:t>
                                    </m:r>
                                  </m:e>
                                </m:d>
                              </m:e>
                            </m:d>
                          </m:e>
                        </m:eqArr>
                      </m:e>
                      <m:e>
                        <m:r>
                          <m:rPr>
                            <m:nor/>
                            <m:sty m:val="p"/>
                          </m:rPr>
                          <m:t>if </m:t>
                        </m:r>
                        <m:r>
                          <m:t>r</m:t>
                        </m:r>
                        <m:r>
                          <m:rPr>
                            <m:sty m:val="p"/>
                          </m:rPr>
                          <m:t>=</m:t>
                        </m:r>
                        <m:r>
                          <m:t>1</m:t>
                        </m:r>
                        <m:r>
                          <m:rPr>
                            <m:sty m:val="p"/>
                          </m:rPr>
                          <m:t>,</m:t>
                        </m:r>
                        <m:r>
                          <m:t>1</m:t>
                        </m:r>
                        <m:r>
                          <m:rPr>
                            <m:sty m:val="p"/>
                          </m:rPr>
                          <m:t>≤</m:t>
                        </m:r>
                        <m:r>
                          <m:t>c</m:t>
                        </m:r>
                        <m:r>
                          <m:rPr>
                            <m:sty m:val="p"/>
                          </m:rPr>
                          <m:t>≤</m:t>
                        </m:r>
                        <m:r>
                          <m:t>K</m:t>
                        </m:r>
                      </m:e>
                    </m:mr>
                    <m:mr>
                      <m:e>
                        <m:eqArr>
                          <m:e>
                            <m:r>
                              <m:rPr>
                                <m:sty m:val="p"/>
                              </m:rPr>
                              <m:t>log</m:t>
                            </m:r>
                            <m:r>
                              <m:t>&amp;</m:t>
                            </m:r>
                            <m:d>
                              <m:dPr>
                                <m:begChr m:val="["/>
                                <m:sepChr m:val=""/>
                                <m:endChr m:val="]"/>
                                <m:grow/>
                              </m:dPr>
                              <m:e>
                                <m:sSub>
                                  <m:e>
                                    <m:acc>
                                      <m:accPr>
                                        <m:chr m:val="‾"/>
                                      </m:accPr>
                                      <m:e>
                                        <m:r>
                                          <m:t>F</m:t>
                                        </m:r>
                                      </m:e>
                                    </m:acc>
                                  </m:e>
                                  <m:sub>
                                    <m:sSub>
                                      <m:e>
                                        <m:r>
                                          <m:rPr>
                                            <m:scr m:val="script"/>
                                            <m:sty m:val="p"/>
                                          </m:rPr>
                                          <m:t>D</m:t>
                                        </m:r>
                                      </m:e>
                                      <m:sub>
                                        <m:r>
                                          <m:t>s</m:t>
                                        </m:r>
                                      </m:sub>
                                    </m:sSub>
                                    <m:r>
                                      <m:rPr>
                                        <m:sty m:val="p"/>
                                      </m:rPr>
                                      <m:t>(</m:t>
                                    </m:r>
                                    <m:sSup>
                                      <m:e>
                                        <m:r>
                                          <m:t>d</m:t>
                                        </m:r>
                                      </m:e>
                                      <m:sup>
                                        <m:r>
                                          <m:rPr>
                                            <m:sty m:val="p"/>
                                          </m:rPr>
                                          <m:t>′</m:t>
                                        </m:r>
                                      </m:sup>
                                    </m:sSup>
                                    <m:r>
                                      <m:rPr>
                                        <m:sty m:val="p"/>
                                      </m:rPr>
                                      <m:t>)</m:t>
                                    </m:r>
                                  </m:sub>
                                </m:sSub>
                                <m:r>
                                  <m:rPr>
                                    <m:sty m:val="p"/>
                                  </m:rPr>
                                  <m:t>(</m:t>
                                </m:r>
                                <m:r>
                                  <m:t>c</m:t>
                                </m:r>
                                <m:r>
                                  <m:rPr>
                                    <m:sty m:val="p"/>
                                  </m:rPr>
                                  <m:t>)</m:t>
                                </m:r>
                              </m:e>
                            </m:d>
                          </m:e>
                          <m:e>
                            <m:r>
                              <m:t>&amp;</m:t>
                            </m:r>
                            <m:r>
                              <m:rPr>
                                <m:sty m:val="p"/>
                              </m:rPr>
                              <m:t>+</m:t>
                            </m:r>
                            <m:r>
                              <m:rPr>
                                <m:sty m:val="p"/>
                              </m:rPr>
                              <m:t>log</m:t>
                            </m:r>
                            <m:d>
                              <m:dPr>
                                <m:begChr m:val="["/>
                                <m:sepChr m:val=""/>
                                <m:endChr m:val="]"/>
                                <m:grow/>
                              </m:dPr>
                              <m:e>
                                <m:sSub>
                                  <m:e>
                                    <m:acc>
                                      <m:accPr>
                                        <m:chr m:val="‾"/>
                                      </m:accPr>
                                      <m:e>
                                        <m:r>
                                          <m:t>F</m:t>
                                        </m:r>
                                      </m:e>
                                    </m:acc>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sSubSup>
                                      <m:e>
                                        <m:r>
                                          <m:t>c</m:t>
                                        </m:r>
                                      </m:e>
                                      <m:sub>
                                        <m:r>
                                          <m:t>2</m:t>
                                        </m:r>
                                        <m:r>
                                          <m:rPr>
                                            <m:sty m:val="p"/>
                                          </m:rPr>
                                          <m:t>,</m:t>
                                        </m:r>
                                        <m:r>
                                          <m:t>K</m:t>
                                        </m:r>
                                      </m:sub>
                                      <m:sup>
                                        <m:r>
                                          <m:t>1</m:t>
                                        </m:r>
                                      </m:sup>
                                    </m:sSubSup>
                                  </m:e>
                                </m:d>
                              </m:e>
                            </m:d>
                          </m:e>
                          <m:e>
                            <m:r>
                              <m:t>&amp;</m:t>
                            </m:r>
                            <m:r>
                              <m:rPr>
                                <m:sty m:val="p"/>
                              </m:rPr>
                              <m:t>−</m:t>
                            </m:r>
                            <m:r>
                              <m:rPr>
                                <m:sty m:val="p"/>
                              </m:rPr>
                              <m:t>log</m:t>
                            </m:r>
                            <m:d>
                              <m:dPr>
                                <m:begChr m:val="["/>
                                <m:sepChr m:val=""/>
                                <m:endChr m:val="]"/>
                                <m:grow/>
                              </m:dPr>
                              <m:e>
                                <m:sSub>
                                  <m:e>
                                    <m:acc>
                                      <m:accPr>
                                        <m:chr m:val="‾"/>
                                      </m:accPr>
                                      <m:e>
                                        <m:r>
                                          <m:t>F</m:t>
                                        </m:r>
                                      </m:e>
                                    </m:acc>
                                  </m:e>
                                  <m:sub>
                                    <m:sSub>
                                      <m:e>
                                        <m:r>
                                          <m:rPr>
                                            <m:scr m:val="script"/>
                                            <m:sty m:val="p"/>
                                          </m:rPr>
                                          <m:t>D</m:t>
                                        </m:r>
                                      </m:e>
                                      <m:sub>
                                        <m:r>
                                          <m:t>s</m:t>
                                        </m:r>
                                      </m:sub>
                                    </m:sSub>
                                    <m:r>
                                      <m:rPr>
                                        <m:sty m:val="p"/>
                                      </m:rPr>
                                      <m:t>(</m:t>
                                    </m:r>
                                    <m:r>
                                      <m:rPr>
                                        <m:nor/>
                                        <m:sty m:val="p"/>
                                      </m:rPr>
                                      <m:t>meta-</m:t>
                                    </m:r>
                                    <m:sSup>
                                      <m:e>
                                        <m:r>
                                          <m:t>d</m:t>
                                        </m:r>
                                      </m:e>
                                      <m:sup>
                                        <m:r>
                                          <m:rPr>
                                            <m:sty m:val="p"/>
                                          </m:rPr>
                                          <m:t>′</m:t>
                                        </m:r>
                                      </m:sup>
                                    </m:sSup>
                                    <m:r>
                                      <m:rPr>
                                        <m:sty m:val="p"/>
                                      </m:rPr>
                                      <m:t>)</m:t>
                                    </m:r>
                                  </m:sub>
                                </m:sSub>
                                <m:d>
                                  <m:dPr>
                                    <m:begChr m:val="("/>
                                    <m:sepChr m:val=""/>
                                    <m:endChr m:val=")"/>
                                    <m:grow/>
                                  </m:dPr>
                                  <m:e>
                                    <m:r>
                                      <m:rPr>
                                        <m:nor/>
                                        <m:sty m:val="p"/>
                                      </m:rPr>
                                      <m:t>meta-</m:t>
                                    </m:r>
                                    <m:r>
                                      <m:t>c</m:t>
                                    </m:r>
                                  </m:e>
                                </m:d>
                              </m:e>
                            </m:d>
                          </m:e>
                        </m:eqArr>
                      </m:e>
                      <m:e>
                        <m:r>
                          <m:rPr>
                            <m:nor/>
                            <m:sty m:val="p"/>
                          </m:rPr>
                          <m:t>if </m:t>
                        </m:r>
                        <m:r>
                          <m:t>r</m:t>
                        </m:r>
                        <m:r>
                          <m:rPr>
                            <m:sty m:val="p"/>
                          </m:rPr>
                          <m:t>=</m:t>
                        </m:r>
                        <m:r>
                          <m:t>1</m:t>
                        </m:r>
                        <m:r>
                          <m:rPr>
                            <m:sty m:val="p"/>
                          </m:rPr>
                          <m:t>,</m:t>
                        </m:r>
                        <m:r>
                          <m:t>c</m:t>
                        </m:r>
                        <m:r>
                          <m:rPr>
                            <m:sty m:val="p"/>
                          </m:rPr>
                          <m:t>=</m:t>
                        </m:r>
                        <m:r>
                          <m:t>K</m:t>
                        </m:r>
                      </m:e>
                    </m:mr>
                  </m:m>
                </m:e>
              </m:d>
            </m:e>
          </m:eqArr>
        </m:oMath>
      </m:oMathPara>
    </w:p>
    <w:p>
      <w:pPr>
        <w:pStyle w:val="FirstParagraph"/>
      </w:pPr>
      <w:r>
        <w:t xml:space="preserve">Here, each term is the logarithm of either the cumulative distribution function, the complementary cumulative distribution function, or the difference between cumulative distribution functions of</w:t>
      </w:r>
      <w:r>
        <w:t xml:space="preserve"> </w:t>
      </w:r>
      <m:oMath>
        <m:r>
          <m:rPr>
            <m:scr m:val="script"/>
            <m:sty m:val="p"/>
          </m:rPr>
          <m:t>D</m:t>
        </m:r>
      </m:oMath>
      <w:r>
        <w:t xml:space="preserve">. Stan has built-in functions for the logarithm of the (complementary) cumulative distribution function of most distributions (e.g., the standard normal distribution). So, all that is needed is to compute the difference on the log scale. The</w:t>
      </w:r>
      <w:r>
        <w:t xml:space="preserve"> </w:t>
      </w:r>
      <w:r>
        <w:rPr>
          <w:rStyle w:val="VerbatimChar"/>
        </w:rPr>
        <w:t xml:space="preserve">hmetad</w:t>
      </w:r>
      <w:r>
        <w:t xml:space="preserve"> </w:t>
      </w:r>
      <w:r>
        <w:t xml:space="preserve">package accomplishes this through the Stan function</w:t>
      </w:r>
      <w:r>
        <w:t xml:space="preserve"> </w:t>
      </w:r>
      <m:oMath>
        <m:r>
          <m:rPr>
            <m:nor/>
            <m:scr m:val="monospace"/>
            <m:sty m:val="p"/>
          </m:rPr>
          <m:t>log_diff_exp</m:t>
        </m:r>
        <m:r>
          <m:rPr>
            <m:sty m:val="p"/>
          </m:rPr>
          <m:t>(</m:t>
        </m:r>
        <m:r>
          <m:t>x</m:t>
        </m:r>
        <m:r>
          <m:rPr>
            <m:sty m:val="p"/>
          </m:rPr>
          <m:t>,</m:t>
        </m:r>
        <m:r>
          <m:t>y</m:t>
        </m:r>
        <m:r>
          <m:rPr>
            <m:sty m:val="p"/>
          </m:rPr>
          <m:t>)</m:t>
        </m:r>
        <m:r>
          <m:rPr>
            <m:sty m:val="p"/>
          </m:rPr>
          <m:t>=</m:t>
        </m:r>
        <m:r>
          <m:rPr>
            <m:sty m:val="p"/>
          </m:rPr>
          <m:t>log</m:t>
        </m:r>
        <m:r>
          <m:rPr>
            <m:sty m:val="p"/>
          </m:rPr>
          <m:t>(</m:t>
        </m:r>
        <m:sSup>
          <m:e>
            <m:r>
              <m:t>e</m:t>
            </m:r>
          </m:e>
          <m:sup>
            <m:r>
              <m:t>x</m:t>
            </m:r>
          </m:sup>
        </m:sSup>
        <m:r>
          <m:rPr>
            <m:sty m:val="p"/>
          </m:rPr>
          <m:t>−</m:t>
        </m:r>
        <m:sSup>
          <m:e>
            <m:r>
              <m:t>e</m:t>
            </m:r>
          </m:e>
          <m:sup>
            <m:r>
              <m:t>y</m:t>
            </m:r>
          </m:sup>
        </m:sSup>
        <m:r>
          <m:rPr>
            <m:sty m:val="p"/>
          </m:rPr>
          <m:t>)</m:t>
        </m:r>
      </m:oMath>
      <w:r>
        <w:t xml:space="preserve">, in particular:</w:t>
      </w:r>
    </w:p>
    <w:p>
      <w:pPr>
        <w:pStyle w:val="BodyText"/>
      </w:pPr>
      <m:oMathPara>
        <m:oMathParaPr>
          <m:jc m:val="center"/>
        </m:oMathParaPr>
        <m:oMath>
          <m:m>
            <m:mPr>
              <m:baseJc m:val="center"/>
              <m:plcHide m:val="on"/>
              <m:mcs>
                <m:mc>
                  <m:mcPr>
                    <m:mcJc m:val="right"/>
                    <m:count m:val="1"/>
                  </m:mcPr>
                </m:mc>
              </m:mcs>
            </m:mPr>
            <m:mr>
              <m:e>
                <m:r>
                  <m:rPr>
                    <m:sty m:val="p"/>
                  </m:rPr>
                  <m:t>log</m:t>
                </m:r>
                <m:d>
                  <m:dPr>
                    <m:begChr m:val="["/>
                    <m:sepChr m:val=""/>
                    <m:endChr m:val="]"/>
                    <m:grow/>
                  </m:dPr>
                  <m:e>
                    <m:sSub>
                      <m:e>
                        <m:r>
                          <m:t>F</m:t>
                        </m:r>
                      </m:e>
                      <m:sub>
                        <m:r>
                          <m:rPr>
                            <m:scr m:val="script"/>
                            <m:sty m:val="p"/>
                          </m:rPr>
                          <m:t>D</m:t>
                        </m:r>
                      </m:sub>
                    </m:sSub>
                    <m:r>
                      <m:rPr>
                        <m:sty m:val="p"/>
                      </m:rPr>
                      <m:t>(</m:t>
                    </m:r>
                    <m:sSub>
                      <m:e>
                        <m:r>
                          <m:t>c</m:t>
                        </m:r>
                      </m:e>
                      <m:sub>
                        <m:r>
                          <m:t>1</m:t>
                        </m:r>
                      </m:sub>
                    </m:sSub>
                    <m:r>
                      <m:rPr>
                        <m:sty m:val="p"/>
                      </m:rPr>
                      <m:t>)</m:t>
                    </m:r>
                    <m:r>
                      <m:rPr>
                        <m:sty m:val="p"/>
                      </m:rPr>
                      <m:t>−</m:t>
                    </m:r>
                    <m:sSub>
                      <m:e>
                        <m:r>
                          <m:t>F</m:t>
                        </m:r>
                      </m:e>
                      <m:sub>
                        <m:r>
                          <m:rPr>
                            <m:scr m:val="script"/>
                            <m:sty m:val="p"/>
                          </m:rPr>
                          <m:t>D</m:t>
                        </m:r>
                      </m:sub>
                    </m:sSub>
                    <m:r>
                      <m:rPr>
                        <m:sty m:val="p"/>
                      </m:rPr>
                      <m:t>(</m:t>
                    </m:r>
                    <m:sSub>
                      <m:e>
                        <m:r>
                          <m:t>c</m:t>
                        </m:r>
                      </m:e>
                      <m:sub>
                        <m:r>
                          <m:t>2</m:t>
                        </m:r>
                      </m:sub>
                    </m:sSub>
                    <m:r>
                      <m:rPr>
                        <m:sty m:val="p"/>
                      </m:rPr>
                      <m:t>)</m:t>
                    </m:r>
                  </m:e>
                </m:d>
                <m:r>
                  <m:rPr>
                    <m:sty m:val="p"/>
                  </m:rPr>
                  <m:t>=</m:t>
                </m:r>
                <m:r>
                  <m:rPr>
                    <m:nor/>
                    <m:scr m:val="monospace"/>
                    <m:sty m:val="p"/>
                  </m:rPr>
                  <m:t>log_diff_exp</m:t>
                </m:r>
                <m:r>
                  <m:t>​</m:t>
                </m:r>
                <m:d>
                  <m:dPr>
                    <m:begChr m:val="("/>
                    <m:sepChr m:val=""/>
                    <m:endChr m:val=")"/>
                    <m:grow/>
                  </m:dPr>
                  <m:e>
                    <m:r>
                      <m:rPr>
                        <m:sty m:val="p"/>
                      </m:rPr>
                      <m:t>log</m:t>
                    </m:r>
                    <m:sSub>
                      <m:e>
                        <m:r>
                          <m:t>F</m:t>
                        </m:r>
                      </m:e>
                      <m:sub>
                        <m:r>
                          <m:rPr>
                            <m:scr m:val="script"/>
                            <m:sty m:val="p"/>
                          </m:rPr>
                          <m:t>D</m:t>
                        </m:r>
                      </m:sub>
                    </m:sSub>
                    <m:r>
                      <m:rPr>
                        <m:sty m:val="p"/>
                      </m:rPr>
                      <m:t>(</m:t>
                    </m:r>
                    <m:sSub>
                      <m:e>
                        <m:r>
                          <m:t>c</m:t>
                        </m:r>
                      </m:e>
                      <m:sub>
                        <m:r>
                          <m:t>1</m:t>
                        </m:r>
                      </m:sub>
                    </m:sSub>
                    <m:r>
                      <m:rPr>
                        <m:sty m:val="p"/>
                      </m:rPr>
                      <m:t>)</m:t>
                    </m:r>
                    <m:r>
                      <m:rPr>
                        <m:sty m:val="p"/>
                      </m:rPr>
                      <m:t>,</m:t>
                    </m:r>
                    <m:r>
                      <m:rPr>
                        <m:sty m:val="p"/>
                      </m:rPr>
                      <m:t>log</m:t>
                    </m:r>
                    <m:sSub>
                      <m:e>
                        <m:r>
                          <m:t>F</m:t>
                        </m:r>
                      </m:e>
                      <m:sub>
                        <m:r>
                          <m:rPr>
                            <m:scr m:val="script"/>
                            <m:sty m:val="p"/>
                          </m:rPr>
                          <m:t>D</m:t>
                        </m:r>
                      </m:sub>
                    </m:sSub>
                    <m:r>
                      <m:rPr>
                        <m:sty m:val="p"/>
                      </m:rPr>
                      <m:t>(</m:t>
                    </m:r>
                    <m:sSub>
                      <m:e>
                        <m:r>
                          <m:t>c</m:t>
                        </m:r>
                      </m:e>
                      <m:sub>
                        <m:r>
                          <m:t>2</m:t>
                        </m:r>
                      </m:sub>
                    </m:sSub>
                    <m:r>
                      <m:rPr>
                        <m:sty m:val="p"/>
                      </m:rPr>
                      <m:t>)</m:t>
                    </m:r>
                  </m:e>
                </m:d>
              </m:e>
            </m:mr>
          </m:m>
        </m:oMath>
      </m:oMathPara>
    </w:p>
    <w:p>
      <w:pPr>
        <w:pStyle w:val="FirstParagraph"/>
      </w:pPr>
      <w:r>
        <w:t xml:space="preserve">Because of this formulation, the</w:t>
      </w:r>
      <w:r>
        <w:t xml:space="preserve"> </w:t>
      </w:r>
      <w:r>
        <w:rPr>
          <w:rStyle w:val="VerbatimChar"/>
        </w:rPr>
        <w:t xml:space="preserve">hmetad</w:t>
      </w:r>
      <w:r>
        <w:t xml:space="preserve"> </w:t>
      </w:r>
      <w:r>
        <w:t xml:space="preserve">package supports any unbounded Thurstonian distribution (i.e., any distribution with a location parameter and fixed scale) given a definition of its log (complementary) cumulative distribution function in both R and Stan.</w:t>
      </w:r>
    </w:p>
    <w:bookmarkEnd w:id="209"/>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40">
    <w:p>
      <w:pPr>
        <w:pStyle w:val="FootnoteText"/>
      </w:pPr>
      <w:r>
        <w:rPr>
          <w:rStyle w:val="FootnoteReference"/>
        </w:rPr>
        <w:footnoteRef/>
      </w:r>
      <w:r>
        <w:t xml:space="preserve"> </w:t>
      </w:r>
      <w:r>
        <w:t xml:space="preserve">Note that the lower bound on this scale represents guesses, not decisions which the participant is confident are incorrect. Although such changes of mind are of interest to metacognition research, they are incompatible with the</w:t>
      </w:r>
      <w:r>
        <w:t xml:space="preserve"> </w:t>
      </w:r>
      <m:oMath>
        <m:r>
          <m:rPr>
            <m:nor/>
            <m:sty m:val="p"/>
          </m:rPr>
          <m:t>meta-</m:t>
        </m:r>
        <m:sSup>
          <m:e>
            <m:r>
              <m:t>d</m:t>
            </m:r>
          </m:e>
          <m:sup>
            <m:r>
              <m:rPr>
                <m:sty m:val="p"/>
              </m:rPr>
              <m:t>′</m:t>
            </m:r>
          </m:sup>
        </m:sSup>
      </m:oMath>
      <w:r>
        <w:t xml:space="preserve"> </w:t>
      </w:r>
      <w:r>
        <w:t xml:space="preserve">model and tend to be infrequent in controlled laboratory tasks.</w:t>
      </w:r>
    </w:p>
  </w:footnote>
  <w:footnote w:id="41">
    <w:p>
      <w:pPr>
        <w:pStyle w:val="FootnoteText"/>
      </w:pPr>
      <w:r>
        <w:rPr>
          <w:rStyle w:val="FootnoteReference"/>
        </w:rPr>
        <w:footnoteRef/>
      </w:r>
      <w:r>
        <w:t xml:space="preserve"> </w:t>
      </w:r>
      <w:r>
        <w:t xml:space="preserve">Because it is designed for tasks in which the Type I task is forced-choice, the</w:t>
      </w:r>
      <w:r>
        <w:t xml:space="preserve"> </w:t>
      </w:r>
      <m:oMath>
        <m:r>
          <m:rPr>
            <m:nor/>
            <m:sty m:val="p"/>
          </m:rPr>
          <m:t>meta-</m:t>
        </m:r>
        <m:sSup>
          <m:e>
            <m:r>
              <m:t>d</m:t>
            </m:r>
          </m:e>
          <m:sup>
            <m:r>
              <m:rPr>
                <m:sty m:val="p"/>
              </m:rPr>
              <m:t>′</m:t>
            </m:r>
          </m:sup>
        </m:sSup>
      </m:oMath>
      <w:r>
        <w:t xml:space="preserve"> </w:t>
      </w:r>
      <w:r>
        <w:t xml:space="preserve">model can only be used when the joint response has an even number of values.</w:t>
      </w:r>
    </w:p>
  </w:footnote>
  <w:footnote w:id="61">
    <w:p>
      <w:pPr>
        <w:pStyle w:val="FootnoteText"/>
      </w:pPr>
      <w:r>
        <w:rPr>
          <w:rStyle w:val="FootnoteReference"/>
        </w:rPr>
        <w:footnoteRef/>
      </w:r>
      <w:r>
        <w:t xml:space="preserve"> </w:t>
      </w:r>
      <w:r>
        <w:t xml:space="preserve">This constraint can be relaxed by setting the argument</w:t>
      </w:r>
      <w:r>
        <w:t xml:space="preserve"> </w:t>
      </w:r>
      <w:r>
        <w:rPr>
          <w:rStyle w:val="VerbatimChar"/>
        </w:rPr>
        <w:t xml:space="preserve">allow_negative_values=TRUE</w:t>
      </w:r>
      <w:r>
        <w:t xml:space="preserve">, which models</w:t>
      </w:r>
      <w:r>
        <w:t xml:space="preserve"> </w:t>
      </w:r>
      <m:oMath>
        <m:r>
          <m:t>M</m:t>
        </m:r>
      </m:oMath>
      <w:r>
        <w:t xml:space="preserve">-ratio on its natural scale (i.e., using the identity link function).</w:t>
      </w:r>
    </w:p>
  </w:footnote>
  <w:footnote w:id="70">
    <w:p>
      <w:pPr>
        <w:pStyle w:val="FootnoteText"/>
      </w:pPr>
      <w:r>
        <w:rPr>
          <w:rStyle w:val="FootnoteReference"/>
        </w:rPr>
        <w:footnoteRef/>
      </w:r>
      <w:r>
        <w:t xml:space="preserve"> </w:t>
      </w:r>
      <w:r>
        <w:t xml:space="preserve">This constraint can be relaxed by setting the argument</w:t>
      </w:r>
      <w:r>
        <w:t xml:space="preserve"> </w:t>
      </w:r>
      <w:r>
        <w:rPr>
          <w:rStyle w:val="VerbatimChar"/>
        </w:rPr>
        <w:t xml:space="preserve">allow_negative_values = TRUE</w:t>
      </w:r>
      <w:r>
        <w:t xml:space="preserve">.</w:t>
      </w:r>
    </w:p>
  </w:footnote>
  <w:footnote w:id="71">
    <w:p>
      <w:pPr>
        <w:pStyle w:val="FootnoteText"/>
      </w:pPr>
      <w:r>
        <w:rPr>
          <w:rStyle w:val="FootnoteReference"/>
        </w:rPr>
        <w:footnoteRef/>
      </w:r>
      <w:r>
        <w:t xml:space="preserve"> </w:t>
      </w:r>
      <w:r>
        <w:t xml:space="preserve">Note that if we had within-participant predictors, it would be appropriate to include those in this formula.</w:t>
      </w:r>
    </w:p>
  </w:footnote>
  <w:footnote w:id="80">
    <w:p>
      <w:pPr>
        <w:pStyle w:val="FootnoteText"/>
      </w:pPr>
      <w:r>
        <w:rPr>
          <w:rStyle w:val="FootnoteReference"/>
        </w:rPr>
        <w:footnoteRef/>
      </w:r>
      <w:r>
        <w:t xml:space="preserve"> </w:t>
      </w:r>
      <w:r>
        <w:t xml:space="preserve">Divergent transitions are a diagnostic specific to Hamiltonian Monte Carlo, the model-fitting algorithm used by Stan. Models previously fit using JAGS within the Hmeta-d toolbox may exhibit such warnings when fit with the</w:t>
      </w:r>
      <w:r>
        <w:t xml:space="preserve"> </w:t>
      </w:r>
      <w:r>
        <w:rPr>
          <w:rStyle w:val="VerbatimChar"/>
        </w:rPr>
        <w:t xml:space="preserve">hmetad</w:t>
      </w:r>
      <w:r>
        <w:t xml:space="preserve"> </w:t>
      </w:r>
      <w:r>
        <w:t xml:space="preserve">package. Because JAGS does not provide such diagnostics, and because a lack of diagnostic warnings does not guarantee that a model has converged, this means that the posterior approximations obtained by JAGS may also be jeopardized.</w:t>
      </w:r>
    </w:p>
  </w:footnote>
  <w:footnote w:id="81">
    <w:p>
      <w:pPr>
        <w:pStyle w:val="FootnoteText"/>
      </w:pPr>
      <w:r>
        <w:rPr>
          <w:rStyle w:val="FootnoteReference"/>
        </w:rPr>
        <w:footnoteRef/>
      </w:r>
      <w:r>
        <w:t xml:space="preserve"> </w:t>
      </w:r>
      <w:r>
        <w:t xml:space="preserve">Alternatively, if metacognitive bias is not of scientific interest, one can bin confidence ratings separately by participant by grouping the data prior to binning.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36EDA"/>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2E7A3C"/>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057F5"/>
    <w:rsid w:val="00932B9C"/>
    <w:rsid w:val="009638C5"/>
    <w:rsid w:val="009B29FD"/>
    <w:rsid w:val="009B41AF"/>
    <w:rsid w:val="00A072AF"/>
    <w:rsid w:val="00A16B10"/>
    <w:rsid w:val="00A46245"/>
    <w:rsid w:val="00A82821"/>
    <w:rsid w:val="00A946AC"/>
    <w:rsid w:val="00AA1F29"/>
    <w:rsid w:val="00AC3115"/>
    <w:rsid w:val="00AC58E4"/>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23682"/>
    <w:rsid w:val="00C304F7"/>
    <w:rsid w:val="00C4693A"/>
    <w:rsid w:val="00C84525"/>
    <w:rsid w:val="00CA071F"/>
    <w:rsid w:val="00CB7758"/>
    <w:rsid w:val="00CE01EB"/>
    <w:rsid w:val="00D11429"/>
    <w:rsid w:val="00D25C5B"/>
    <w:rsid w:val="00D630B7"/>
    <w:rsid w:val="00D807FA"/>
    <w:rsid w:val="00DA752F"/>
    <w:rsid w:val="00DB4D47"/>
    <w:rsid w:val="00DE772F"/>
    <w:rsid w:val="00E37D61"/>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 w:val="00FC515E"/>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sid w:val="00036EDA"/>
    <w:rPr>
      <w:i w:val="0"/>
      <w:shd w:color="auto" w:fill="F1F3F5" w:val="clear"/>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rsid w:val="00036EDA"/>
    <w:pPr>
      <w:shd w:color="auto" w:fill="F1F3F5" w:val="clear"/>
      <w:wordWrap w:val="0"/>
      <w:spacing w:after="240" w:line="240" w:lineRule="auto"/>
      <w:contextualSpacing/>
    </w:pPr>
  </w:style>
  <w:style w:customStyle="1" w:styleId="KeywordTok" w:type="character">
    <w:name w:val="KeywordTok"/>
    <w:basedOn w:val="VerbatimChar"/>
    <w:rPr>
      <w:rFonts w:ascii="Consolas" w:hAnsi="Consolas"/>
      <w:i w:val="0"/>
      <w:color w:val="003B4F"/>
      <w:sz w:val="22"/>
      <w:shd w:color="auto" w:fill="F1F3F5" w:val="clear"/>
    </w:rPr>
  </w:style>
  <w:style w:customStyle="1" w:styleId="DataTypeTok" w:type="character">
    <w:name w:val="DataTypeTok"/>
    <w:basedOn w:val="VerbatimChar"/>
    <w:rPr>
      <w:rFonts w:ascii="Consolas" w:hAnsi="Consolas"/>
      <w:i w:val="0"/>
      <w:color w:val="AD0000"/>
      <w:sz w:val="22"/>
      <w:shd w:color="auto" w:fill="F1F3F5" w:val="clear"/>
    </w:rPr>
  </w:style>
  <w:style w:customStyle="1" w:styleId="DecValTok" w:type="character">
    <w:name w:val="DecValTok"/>
    <w:basedOn w:val="VerbatimChar"/>
    <w:rPr>
      <w:rFonts w:ascii="Consolas" w:hAnsi="Consolas"/>
      <w:i w:val="0"/>
      <w:color w:val="AD0000"/>
      <w:sz w:val="22"/>
      <w:shd w:color="auto" w:fill="F1F3F5" w:val="clear"/>
    </w:rPr>
  </w:style>
  <w:style w:customStyle="1" w:styleId="BaseNTok" w:type="character">
    <w:name w:val="BaseNTok"/>
    <w:basedOn w:val="VerbatimChar"/>
    <w:rPr>
      <w:rFonts w:ascii="Consolas" w:hAnsi="Consolas"/>
      <w:i w:val="0"/>
      <w:color w:val="AD0000"/>
      <w:sz w:val="22"/>
      <w:shd w:color="auto" w:fill="F1F3F5" w:val="clear"/>
    </w:rPr>
  </w:style>
  <w:style w:customStyle="1" w:styleId="FloatTok" w:type="character">
    <w:name w:val="FloatTok"/>
    <w:basedOn w:val="VerbatimChar"/>
    <w:rPr>
      <w:rFonts w:ascii="Consolas" w:hAnsi="Consolas"/>
      <w:i w:val="0"/>
      <w:color w:val="AD0000"/>
      <w:sz w:val="22"/>
      <w:shd w:color="auto" w:fill="F1F3F5" w:val="clear"/>
    </w:rPr>
  </w:style>
  <w:style w:customStyle="1" w:styleId="ConstantTok" w:type="character">
    <w:name w:val="ConstantTok"/>
    <w:basedOn w:val="VerbatimChar"/>
    <w:rPr>
      <w:rFonts w:ascii="Consolas" w:hAnsi="Consolas"/>
      <w:i w:val="0"/>
      <w:color w:val="8F5902"/>
      <w:sz w:val="22"/>
      <w:shd w:color="auto" w:fill="F1F3F5" w:val="clear"/>
    </w:rPr>
  </w:style>
  <w:style w:customStyle="1" w:styleId="CharTok" w:type="character">
    <w:name w:val="CharTok"/>
    <w:basedOn w:val="VerbatimChar"/>
    <w:rPr>
      <w:rFonts w:ascii="Consolas" w:hAnsi="Consolas"/>
      <w:i w:val="0"/>
      <w:color w:val="20794D"/>
      <w:sz w:val="22"/>
      <w:shd w:color="auto" w:fill="F1F3F5" w:val="clear"/>
    </w:rPr>
  </w:style>
  <w:style w:customStyle="1" w:styleId="SpecialCharTok" w:type="character">
    <w:name w:val="SpecialCharTok"/>
    <w:basedOn w:val="VerbatimChar"/>
    <w:rPr>
      <w:rFonts w:ascii="Consolas" w:hAnsi="Consolas"/>
      <w:i w:val="0"/>
      <w:color w:val="5E5E5E"/>
      <w:sz w:val="22"/>
      <w:shd w:color="auto" w:fill="F1F3F5" w:val="clear"/>
    </w:rPr>
  </w:style>
  <w:style w:customStyle="1" w:styleId="StringTok" w:type="character">
    <w:name w:val="StringTok"/>
    <w:basedOn w:val="VerbatimChar"/>
    <w:rPr>
      <w:rFonts w:ascii="Consolas" w:hAnsi="Consolas"/>
      <w:i w:val="0"/>
      <w:color w:val="20794D"/>
      <w:sz w:val="22"/>
      <w:shd w:color="auto" w:fill="F1F3F5" w:val="clear"/>
    </w:rPr>
  </w:style>
  <w:style w:customStyle="1" w:styleId="VerbatimStringTok" w:type="character">
    <w:name w:val="VerbatimStringTok"/>
    <w:basedOn w:val="VerbatimChar"/>
    <w:rPr>
      <w:rFonts w:ascii="Consolas" w:hAnsi="Consolas"/>
      <w:i w:val="0"/>
      <w:color w:val="20794D"/>
      <w:sz w:val="22"/>
      <w:shd w:color="auto" w:fill="F1F3F5" w:val="clear"/>
    </w:rPr>
  </w:style>
  <w:style w:customStyle="1" w:styleId="SpecialStringTok" w:type="character">
    <w:name w:val="SpecialStringTok"/>
    <w:basedOn w:val="VerbatimChar"/>
    <w:rPr>
      <w:rFonts w:ascii="Consolas" w:hAnsi="Consolas"/>
      <w:i w:val="0"/>
      <w:color w:val="20794D"/>
      <w:sz w:val="22"/>
      <w:shd w:color="auto" w:fill="F1F3F5" w:val="clear"/>
    </w:rPr>
  </w:style>
  <w:style w:customStyle="1" w:styleId="ImportTok" w:type="character">
    <w:name w:val="ImportTok"/>
    <w:basedOn w:val="VerbatimChar"/>
    <w:rPr>
      <w:rFonts w:ascii="Consolas" w:hAnsi="Consolas"/>
      <w:i w:val="0"/>
      <w:color w:val="00769E"/>
      <w:sz w:val="22"/>
      <w:shd w:color="auto" w:fill="F1F3F5" w:val="clear"/>
    </w:rPr>
  </w:style>
  <w:style w:customStyle="1" w:styleId="CommentTok" w:type="character">
    <w:name w:val="CommentTok"/>
    <w:basedOn w:val="VerbatimChar"/>
    <w:rPr>
      <w:rFonts w:ascii="Consolas" w:hAnsi="Consolas"/>
      <w:i w:val="0"/>
      <w:color w:val="5E5E5E"/>
      <w:sz w:val="22"/>
      <w:shd w:color="auto" w:fill="F1F3F5" w:val="clear"/>
    </w:rPr>
  </w:style>
  <w:style w:customStyle="1" w:styleId="DocumentationTok" w:type="character">
    <w:name w:val="DocumentationTok"/>
    <w:basedOn w:val="VerbatimChar"/>
    <w:rPr>
      <w:rFonts w:ascii="Consolas" w:hAnsi="Consolas"/>
      <w:i/>
      <w:color w:val="5E5E5E"/>
      <w:sz w:val="22"/>
      <w:shd w:color="auto" w:fill="F1F3F5" w:val="clear"/>
    </w:rPr>
  </w:style>
  <w:style w:customStyle="1" w:styleId="AnnotationTok" w:type="character">
    <w:name w:val="AnnotationTok"/>
    <w:basedOn w:val="VerbatimChar"/>
    <w:rPr>
      <w:rFonts w:ascii="Consolas" w:hAnsi="Consolas"/>
      <w:i w:val="0"/>
      <w:color w:val="5E5E5E"/>
      <w:sz w:val="22"/>
      <w:shd w:color="auto" w:fill="F1F3F5" w:val="clear"/>
    </w:rPr>
  </w:style>
  <w:style w:customStyle="1" w:styleId="CommentVarTok" w:type="character">
    <w:name w:val="CommentVarTok"/>
    <w:basedOn w:val="VerbatimChar"/>
    <w:rPr>
      <w:rFonts w:ascii="Consolas" w:hAnsi="Consolas"/>
      <w:i/>
      <w:color w:val="5E5E5E"/>
      <w:sz w:val="22"/>
      <w:shd w:color="auto" w:fill="F1F3F5" w:val="clear"/>
    </w:rPr>
  </w:style>
  <w:style w:customStyle="1" w:styleId="OtherTok" w:type="character">
    <w:name w:val="OtherTok"/>
    <w:basedOn w:val="VerbatimChar"/>
    <w:rPr>
      <w:rFonts w:ascii="Consolas" w:hAnsi="Consolas"/>
      <w:i w:val="0"/>
      <w:color w:val="003B4F"/>
      <w:sz w:val="22"/>
      <w:shd w:color="auto" w:fill="F1F3F5" w:val="clear"/>
    </w:rPr>
  </w:style>
  <w:style w:customStyle="1" w:styleId="FunctionTok" w:type="character">
    <w:name w:val="FunctionTok"/>
    <w:basedOn w:val="VerbatimChar"/>
    <w:rPr>
      <w:rFonts w:ascii="Consolas" w:hAnsi="Consolas"/>
      <w:i w:val="0"/>
      <w:color w:val="4758AB"/>
      <w:sz w:val="22"/>
      <w:shd w:color="auto" w:fill="F1F3F5" w:val="clear"/>
    </w:rPr>
  </w:style>
  <w:style w:customStyle="1" w:styleId="VariableTok" w:type="character">
    <w:name w:val="VariableTok"/>
    <w:basedOn w:val="VerbatimChar"/>
    <w:rPr>
      <w:rFonts w:ascii="Consolas" w:hAnsi="Consolas"/>
      <w:i w:val="0"/>
      <w:color w:val="111111"/>
      <w:sz w:val="22"/>
      <w:shd w:color="auto" w:fill="F1F3F5" w:val="clear"/>
    </w:rPr>
  </w:style>
  <w:style w:customStyle="1" w:styleId="ControlFlowTok" w:type="character">
    <w:name w:val="ControlFlowTok"/>
    <w:basedOn w:val="VerbatimChar"/>
    <w:rPr>
      <w:rFonts w:ascii="Consolas" w:hAnsi="Consolas"/>
      <w:i w:val="0"/>
      <w:color w:val="003B4F"/>
      <w:sz w:val="22"/>
      <w:shd w:color="auto" w:fill="F1F3F5" w:val="clear"/>
    </w:rPr>
  </w:style>
  <w:style w:customStyle="1" w:styleId="OperatorTok" w:type="character">
    <w:name w:val="OperatorTok"/>
    <w:basedOn w:val="VerbatimChar"/>
    <w:rPr>
      <w:rFonts w:ascii="Consolas" w:hAnsi="Consolas"/>
      <w:i w:val="0"/>
      <w:color w:val="5E5E5E"/>
      <w:sz w:val="22"/>
      <w:shd w:color="auto" w:fill="F1F3F5" w:val="clear"/>
    </w:rPr>
  </w:style>
  <w:style w:customStyle="1" w:styleId="BuiltInTok" w:type="character">
    <w:name w:val="BuiltInTok"/>
    <w:basedOn w:val="VerbatimChar"/>
    <w:rPr>
      <w:rFonts w:ascii="Consolas" w:hAnsi="Consolas"/>
      <w:i w:val="0"/>
      <w:color w:val="003B4F"/>
      <w:sz w:val="22"/>
      <w:shd w:color="auto" w:fill="F1F3F5" w:val="clear"/>
    </w:rPr>
  </w:style>
  <w:style w:customStyle="1" w:styleId="ExtensionTok" w:type="character">
    <w:name w:val="ExtensionTok"/>
    <w:basedOn w:val="VerbatimChar"/>
    <w:rPr>
      <w:rFonts w:ascii="Consolas" w:hAnsi="Consolas"/>
      <w:i w:val="0"/>
      <w:color w:val="003B4F"/>
      <w:sz w:val="22"/>
      <w:shd w:color="auto" w:fill="F1F3F5" w:val="clear"/>
    </w:rPr>
  </w:style>
  <w:style w:customStyle="1" w:styleId="PreprocessorTok" w:type="character">
    <w:name w:val="PreprocessorTok"/>
    <w:basedOn w:val="VerbatimChar"/>
    <w:rPr>
      <w:rFonts w:ascii="Consolas" w:hAnsi="Consolas"/>
      <w:i w:val="0"/>
      <w:color w:val="AD0000"/>
      <w:sz w:val="22"/>
      <w:shd w:color="auto" w:fill="F1F3F5" w:val="clear"/>
    </w:rPr>
  </w:style>
  <w:style w:customStyle="1" w:styleId="AttributeTok" w:type="character">
    <w:name w:val="AttributeTok"/>
    <w:basedOn w:val="VerbatimChar"/>
    <w:rPr>
      <w:rFonts w:ascii="Consolas" w:hAnsi="Consolas"/>
      <w:i w:val="0"/>
      <w:color w:val="657422"/>
      <w:sz w:val="22"/>
      <w:shd w:color="auto" w:fill="F1F3F5" w:val="clear"/>
    </w:rPr>
  </w:style>
  <w:style w:customStyle="1" w:styleId="RegionMarkerTok" w:type="character">
    <w:name w:val="RegionMarkerTok"/>
    <w:basedOn w:val="VerbatimChar"/>
    <w:rPr>
      <w:rFonts w:ascii="Consolas" w:hAnsi="Consolas"/>
      <w:i w:val="0"/>
      <w:color w:val="003B4F"/>
      <w:sz w:val="22"/>
      <w:shd w:color="auto" w:fill="F1F3F5" w:val="clear"/>
    </w:rPr>
  </w:style>
  <w:style w:customStyle="1" w:styleId="InformationTok" w:type="character">
    <w:name w:val="InformationTok"/>
    <w:basedOn w:val="VerbatimChar"/>
    <w:rPr>
      <w:rFonts w:ascii="Consolas" w:hAnsi="Consolas"/>
      <w:i w:val="0"/>
      <w:color w:val="5E5E5E"/>
      <w:sz w:val="22"/>
      <w:shd w:color="auto" w:fill="F1F3F5" w:val="clear"/>
    </w:rPr>
  </w:style>
  <w:style w:customStyle="1" w:styleId="WarningTok" w:type="character">
    <w:name w:val="WarningTok"/>
    <w:basedOn w:val="VerbatimChar"/>
    <w:rPr>
      <w:rFonts w:ascii="Consolas" w:hAnsi="Consolas"/>
      <w:i/>
      <w:color w:val="5E5E5E"/>
      <w:sz w:val="22"/>
      <w:shd w:color="auto" w:fill="F1F3F5" w:val="clear"/>
    </w:rPr>
  </w:style>
  <w:style w:customStyle="1" w:styleId="AlertTok" w:type="character">
    <w:name w:val="AlertTok"/>
    <w:basedOn w:val="VerbatimChar"/>
    <w:rPr>
      <w:rFonts w:ascii="Consolas" w:hAnsi="Consolas"/>
      <w:i w:val="0"/>
      <w:color w:val="AD0000"/>
      <w:sz w:val="22"/>
      <w:shd w:color="auto" w:fill="F1F3F5" w:val="clear"/>
    </w:rPr>
  </w:style>
  <w:style w:customStyle="1" w:styleId="ErrorTok" w:type="character">
    <w:name w:val="ErrorTok"/>
    <w:basedOn w:val="VerbatimChar"/>
    <w:rPr>
      <w:rFonts w:ascii="Consolas" w:hAnsi="Consolas"/>
      <w:i w:val="0"/>
      <w:color w:val="AD0000"/>
      <w:sz w:val="22"/>
      <w:shd w:color="auto" w:fill="F1F3F5" w:val="clear"/>
    </w:rPr>
  </w:style>
  <w:style w:customStyle="1" w:styleId="NormalTok" w:type="character">
    <w:name w:val="NormalTok"/>
    <w:basedOn w:val="VerbatimChar"/>
    <w:rPr>
      <w:rFonts w:ascii="Consolas" w:hAnsi="Consolas"/>
      <w:i w:val="0"/>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image" Id="rId23" Target="media/rId23.svg" /><Relationship Type="http://schemas.openxmlformats.org/officeDocument/2006/relationships/image" Id="rId100" Target="media/rId100.png" /><Relationship Type="http://schemas.openxmlformats.org/officeDocument/2006/relationships/image" Id="rId106" Target="media/rId106.png" /><Relationship Type="http://schemas.openxmlformats.org/officeDocument/2006/relationships/image" Id="rId84" Target="media/rId84.png" /><Relationship Type="http://schemas.openxmlformats.org/officeDocument/2006/relationships/image" Id="rId96" Target="media/rId96.png" /><Relationship Type="http://schemas.openxmlformats.org/officeDocument/2006/relationships/image" Id="rId56" Target="media/rId56.png" /><Relationship Type="http://schemas.openxmlformats.org/officeDocument/2006/relationships/image" Id="rId48" Target="media/rId48.png" /><Relationship Type="http://schemas.openxmlformats.org/officeDocument/2006/relationships/image" Id="rId92" Target="media/rId92.png" /><Relationship Type="http://schemas.openxmlformats.org/officeDocument/2006/relationships/image" Id="rId88" Target="media/rId88.png" /><Relationship Type="http://schemas.openxmlformats.org/officeDocument/2006/relationships/image" Id="rId73" Target="media/rId73.svg" /><Relationship Type="http://schemas.openxmlformats.org/officeDocument/2006/relationships/image" Id="rId26" Target="media/rId26.png" /><Relationship Type="http://schemas.openxmlformats.org/officeDocument/2006/relationships/image" Id="rId31" Target="media/rId31.png" /><Relationship Type="http://schemas.openxmlformats.org/officeDocument/2006/relationships/image" Id="rId45" Target="media/rId45.png" /><Relationship Type="http://schemas.openxmlformats.org/officeDocument/2006/relationships/image" Id="rId76" Target="media/rId76.png" /><Relationship Type="http://schemas.openxmlformats.org/officeDocument/2006/relationships/image" Id="rId42" Target="media/rId42.svg" /><Relationship Type="http://schemas.openxmlformats.org/officeDocument/2006/relationships/hyperlink" Id="rId65" Target="https://cran.r-project.org/bin/windows/Rtools/" TargetMode="External" /><Relationship Type="http://schemas.openxmlformats.org/officeDocument/2006/relationships/hyperlink" Id="rId120" Target="https://cran.r-project.org/package=hmetad" TargetMode="External" /><Relationship Type="http://schemas.openxmlformats.org/officeDocument/2006/relationships/hyperlink" Id="rId168" Target="https://doi.org/10.1007/978-3-642-45190-4_3" TargetMode="External" /><Relationship Type="http://schemas.openxmlformats.org/officeDocument/2006/relationships/hyperlink" Id="rId199" Target="https://doi.org/10.1007/s11222-016-9696-4" TargetMode="External" /><Relationship Type="http://schemas.openxmlformats.org/officeDocument/2006/relationships/hyperlink" Id="rId152" Target="https://doi.org/10.1007/s11222-023-10366-5" TargetMode="External" /><Relationship Type="http://schemas.openxmlformats.org/officeDocument/2006/relationships/hyperlink" Id="rId186" Target="https://doi.org/10.1016/j.biopsych.2017.12.017" TargetMode="External" /><Relationship Type="http://schemas.openxmlformats.org/officeDocument/2006/relationships/hyperlink" Id="rId166" Target="https://doi.org/10.1016/j.concog.2011.09.021" TargetMode="External" /><Relationship Type="http://schemas.openxmlformats.org/officeDocument/2006/relationships/hyperlink" Id="rId203" Target="https://doi.org/10.1016/j.concog.2021.103196" TargetMode="External" /><Relationship Type="http://schemas.openxmlformats.org/officeDocument/2006/relationships/hyperlink" Id="rId205" Target="https://doi.org/10.1017/s0140525x20001685" TargetMode="External" /><Relationship Type="http://schemas.openxmlformats.org/officeDocument/2006/relationships/hyperlink" Id="rId178" Target="https://doi.org/10.1037/amp0000937" TargetMode="External" /><Relationship Type="http://schemas.openxmlformats.org/officeDocument/2006/relationships/hyperlink" Id="rId192" Target="https://doi.org/10.1037/met0000275" TargetMode="External" /><Relationship Type="http://schemas.openxmlformats.org/officeDocument/2006/relationships/hyperlink" Id="rId182" Target="https://doi.org/10.1037/met0000634" TargetMode="External" /><Relationship Type="http://schemas.openxmlformats.org/officeDocument/2006/relationships/hyperlink" Id="rId180" Target="https://doi.org/10.1038/s41467-025-56117-0" TargetMode="External" /><Relationship Type="http://schemas.openxmlformats.org/officeDocument/2006/relationships/hyperlink" Id="rId188" Target="https://doi.org/10.1073/pnas.2520832123" TargetMode="External" /><Relationship Type="http://schemas.openxmlformats.org/officeDocument/2006/relationships/hyperlink" Id="rId145" Target="https://doi.org/10.1073/pnas.2624329123" TargetMode="External" /><Relationship Type="http://schemas.openxmlformats.org/officeDocument/2006/relationships/hyperlink" Id="rId190" Target="https://doi.org/10.1073/pnas.2628596123" TargetMode="External" /><Relationship Type="http://schemas.openxmlformats.org/officeDocument/2006/relationships/hyperlink" Id="rId176" Target="https://doi.org/10.1093/cercor/bhae455" TargetMode="External" /><Relationship Type="http://schemas.openxmlformats.org/officeDocument/2006/relationships/hyperlink" Id="rId148" Target="https://doi.org/10.1093/nc/niab040" TargetMode="External" /><Relationship Type="http://schemas.openxmlformats.org/officeDocument/2006/relationships/hyperlink" Id="rId136" Target="https://doi.org/10.1093/nc/nix007" TargetMode="External" /><Relationship Type="http://schemas.openxmlformats.org/officeDocument/2006/relationships/hyperlink" Id="rId132" Target="https://doi.org/10.1111/bmsp.12195" TargetMode="External" /><Relationship Type="http://schemas.openxmlformats.org/officeDocument/2006/relationships/hyperlink" Id="rId142" Target="https://doi.org/10.1111/rssa.12378" TargetMode="External" /><Relationship Type="http://schemas.openxmlformats.org/officeDocument/2006/relationships/hyperlink" Id="rId184" Target="https://doi.org/10.1111/spc3.12948" TargetMode="External" /><Relationship Type="http://schemas.openxmlformats.org/officeDocument/2006/relationships/hyperlink" Id="rId134" Target="https://doi.org/10.1121/1.1907764" TargetMode="External" /><Relationship Type="http://schemas.openxmlformats.org/officeDocument/2006/relationships/hyperlink" Id="rId138" Target="https://doi.org/10.1146/annurev-psych-022423-032425" TargetMode="External" /><Relationship Type="http://schemas.openxmlformats.org/officeDocument/2006/relationships/hyperlink" Id="rId171" Target="https://doi.org/10.1214/23-ba1404" TargetMode="External" /><Relationship Type="http://schemas.openxmlformats.org/officeDocument/2006/relationships/hyperlink" Id="rId195" Target="https://doi.org/10.1214/25-ba1569" TargetMode="External" /><Relationship Type="http://schemas.openxmlformats.org/officeDocument/2006/relationships/hyperlink" Id="rId201" Target="https://doi.org/10.1371/journal.pone.0152719" TargetMode="External" /><Relationship Type="http://schemas.openxmlformats.org/officeDocument/2006/relationships/hyperlink" Id="rId128" Target="https://doi.org/10.18637/jss.v080.i01" TargetMode="External" /><Relationship Type="http://schemas.openxmlformats.org/officeDocument/2006/relationships/hyperlink" Id="rId162" Target="https://doi.org/10.21105/joss.01541" TargetMode="External" /><Relationship Type="http://schemas.openxmlformats.org/officeDocument/2006/relationships/hyperlink" Id="rId154" Target="https://doi.org/10.21105/joss.11036" TargetMode="External" /><Relationship Type="http://schemas.openxmlformats.org/officeDocument/2006/relationships/hyperlink" Id="rId130" Target="https://doi.org/10.32614/rj-2018-017" TargetMode="External" /><Relationship Type="http://schemas.openxmlformats.org/officeDocument/2006/relationships/hyperlink" Id="rId140" Target="https://doi.org/10.3389/fnhum.2014.00443" TargetMode="External" /><Relationship Type="http://schemas.openxmlformats.org/officeDocument/2006/relationships/hyperlink" Id="rId124" Target="https://doi.org/10.3389/fpsyg.2013.00328" TargetMode="External" /><Relationship Type="http://schemas.openxmlformats.org/officeDocument/2006/relationships/hyperlink" Id="rId173" Target="https://doi.org/10.3389/fpsyg.2018.02504" TargetMode="External" /><Relationship Type="http://schemas.openxmlformats.org/officeDocument/2006/relationships/hyperlink" Id="rId160" Target="https://doi.org/10.3389/fpsyg.2019.02767" TargetMode="External" /><Relationship Type="http://schemas.openxmlformats.org/officeDocument/2006/relationships/hyperlink" Id="rId150" Target="https://doi.org/10.3758/bf03203619" TargetMode="External" /><Relationship Type="http://schemas.openxmlformats.org/officeDocument/2006/relationships/hyperlink" Id="rId158" Target="https://doi.org/10.3758/s13423-017-1272-1" TargetMode="External" /><Relationship Type="http://schemas.openxmlformats.org/officeDocument/2006/relationships/hyperlink" Id="rId164" Target="https://doi.org/10.3758/s13423-024-02510-7" TargetMode="External" /><Relationship Type="http://schemas.openxmlformats.org/officeDocument/2006/relationships/hyperlink" Id="rId126" Target="https://doi.org/10.48550/ARXIV.1701.02434" TargetMode="External" /><Relationship Type="http://schemas.openxmlformats.org/officeDocument/2006/relationships/hyperlink" Id="rId197" Target="https://doi.org/10.48550/ARXIV.1804.06788" TargetMode="External" /><Relationship Type="http://schemas.openxmlformats.org/officeDocument/2006/relationships/hyperlink" Id="rId156" Target="https://doi.org/10.5281/ZENODO.1308151" TargetMode="External" /><Relationship Type="http://schemas.openxmlformats.org/officeDocument/2006/relationships/hyperlink" Id="rId121" Target="https://github.com/metacoglab/hmetad" TargetMode="External" /><Relationship Type="http://schemas.openxmlformats.org/officeDocument/2006/relationships/hyperlink" Id="rId34" Target="https://github.com/metacoglab/hmetad_tutorial" TargetMode="External" /><Relationship Type="http://schemas.openxmlformats.org/officeDocument/2006/relationships/hyperlink" Id="rId66" Target="https://mc-stan.org/install/" TargetMode="External" /><Relationship Type="http://schemas.openxmlformats.org/officeDocument/2006/relationships/hyperlink" Id="rId79" Target="https://mc-stan.org/learn-stan/diagnostics-warnings.html" TargetMode="External" /><Relationship Type="http://schemas.openxmlformats.org/officeDocument/2006/relationships/hyperlink" Id="rId119" Target="https://metacoglab.github.io/hmetad_tutorial" TargetMode="External" /><Relationship Type="http://schemas.openxmlformats.org/officeDocument/2006/relationships/hyperlink" Id="rId35" Target="https://metacoglab.github.io/hmetad_tutorial/" TargetMode="External" /><Relationship Type="http://schemas.openxmlformats.org/officeDocument/2006/relationships/hyperlink" Id="rId28" Target="https://orcid.org/0000-0001-7401-9802" TargetMode="External" /><Relationship Type="http://schemas.openxmlformats.org/officeDocument/2006/relationships/hyperlink" Id="rId33" Target="https://orcid.org/0000-0003-0233-4891" TargetMode="External" /><Relationship Type="http://schemas.openxmlformats.org/officeDocument/2006/relationships/hyperlink" Id="rId36" Target="mailto:kevin.o&#8217;neill@ucl.ac.uk" TargetMode="External" /></Relationships>
</file>

<file path=word/_rels/footnotes.xml.rels><?xml version="1.0" encoding="UTF-8"?><Relationships xmlns="http://schemas.openxmlformats.org/package/2006/relationships"><Relationship Type="http://schemas.openxmlformats.org/officeDocument/2006/relationships/hyperlink" Id="rId65" Target="https://cran.r-project.org/bin/windows/Rtools/" TargetMode="External" /><Relationship Type="http://schemas.openxmlformats.org/officeDocument/2006/relationships/hyperlink" Id="rId120" Target="https://cran.r-project.org/package=hmetad" TargetMode="External" /><Relationship Type="http://schemas.openxmlformats.org/officeDocument/2006/relationships/hyperlink" Id="rId168" Target="https://doi.org/10.1007/978-3-642-45190-4_3" TargetMode="External" /><Relationship Type="http://schemas.openxmlformats.org/officeDocument/2006/relationships/hyperlink" Id="rId199" Target="https://doi.org/10.1007/s11222-016-9696-4" TargetMode="External" /><Relationship Type="http://schemas.openxmlformats.org/officeDocument/2006/relationships/hyperlink" Id="rId152" Target="https://doi.org/10.1007/s11222-023-10366-5" TargetMode="External" /><Relationship Type="http://schemas.openxmlformats.org/officeDocument/2006/relationships/hyperlink" Id="rId186" Target="https://doi.org/10.1016/j.biopsych.2017.12.017" TargetMode="External" /><Relationship Type="http://schemas.openxmlformats.org/officeDocument/2006/relationships/hyperlink" Id="rId166" Target="https://doi.org/10.1016/j.concog.2011.09.021" TargetMode="External" /><Relationship Type="http://schemas.openxmlformats.org/officeDocument/2006/relationships/hyperlink" Id="rId203" Target="https://doi.org/10.1016/j.concog.2021.103196" TargetMode="External" /><Relationship Type="http://schemas.openxmlformats.org/officeDocument/2006/relationships/hyperlink" Id="rId205" Target="https://doi.org/10.1017/s0140525x20001685" TargetMode="External" /><Relationship Type="http://schemas.openxmlformats.org/officeDocument/2006/relationships/hyperlink" Id="rId178" Target="https://doi.org/10.1037/amp0000937" TargetMode="External" /><Relationship Type="http://schemas.openxmlformats.org/officeDocument/2006/relationships/hyperlink" Id="rId192" Target="https://doi.org/10.1037/met0000275" TargetMode="External" /><Relationship Type="http://schemas.openxmlformats.org/officeDocument/2006/relationships/hyperlink" Id="rId182" Target="https://doi.org/10.1037/met0000634" TargetMode="External" /><Relationship Type="http://schemas.openxmlformats.org/officeDocument/2006/relationships/hyperlink" Id="rId180" Target="https://doi.org/10.1038/s41467-025-56117-0" TargetMode="External" /><Relationship Type="http://schemas.openxmlformats.org/officeDocument/2006/relationships/hyperlink" Id="rId188" Target="https://doi.org/10.1073/pnas.2520832123" TargetMode="External" /><Relationship Type="http://schemas.openxmlformats.org/officeDocument/2006/relationships/hyperlink" Id="rId145" Target="https://doi.org/10.1073/pnas.2624329123" TargetMode="External" /><Relationship Type="http://schemas.openxmlformats.org/officeDocument/2006/relationships/hyperlink" Id="rId190" Target="https://doi.org/10.1073/pnas.2628596123" TargetMode="External" /><Relationship Type="http://schemas.openxmlformats.org/officeDocument/2006/relationships/hyperlink" Id="rId176" Target="https://doi.org/10.1093/cercor/bhae455" TargetMode="External" /><Relationship Type="http://schemas.openxmlformats.org/officeDocument/2006/relationships/hyperlink" Id="rId148" Target="https://doi.org/10.1093/nc/niab040" TargetMode="External" /><Relationship Type="http://schemas.openxmlformats.org/officeDocument/2006/relationships/hyperlink" Id="rId136" Target="https://doi.org/10.1093/nc/nix007" TargetMode="External" /><Relationship Type="http://schemas.openxmlformats.org/officeDocument/2006/relationships/hyperlink" Id="rId132" Target="https://doi.org/10.1111/bmsp.12195" TargetMode="External" /><Relationship Type="http://schemas.openxmlformats.org/officeDocument/2006/relationships/hyperlink" Id="rId142" Target="https://doi.org/10.1111/rssa.12378" TargetMode="External" /><Relationship Type="http://schemas.openxmlformats.org/officeDocument/2006/relationships/hyperlink" Id="rId184" Target="https://doi.org/10.1111/spc3.12948" TargetMode="External" /><Relationship Type="http://schemas.openxmlformats.org/officeDocument/2006/relationships/hyperlink" Id="rId134" Target="https://doi.org/10.1121/1.1907764" TargetMode="External" /><Relationship Type="http://schemas.openxmlformats.org/officeDocument/2006/relationships/hyperlink" Id="rId138" Target="https://doi.org/10.1146/annurev-psych-022423-032425" TargetMode="External" /><Relationship Type="http://schemas.openxmlformats.org/officeDocument/2006/relationships/hyperlink" Id="rId171" Target="https://doi.org/10.1214/23-ba1404" TargetMode="External" /><Relationship Type="http://schemas.openxmlformats.org/officeDocument/2006/relationships/hyperlink" Id="rId195" Target="https://doi.org/10.1214/25-ba1569" TargetMode="External" /><Relationship Type="http://schemas.openxmlformats.org/officeDocument/2006/relationships/hyperlink" Id="rId201" Target="https://doi.org/10.1371/journal.pone.0152719" TargetMode="External" /><Relationship Type="http://schemas.openxmlformats.org/officeDocument/2006/relationships/hyperlink" Id="rId128" Target="https://doi.org/10.18637/jss.v080.i01" TargetMode="External" /><Relationship Type="http://schemas.openxmlformats.org/officeDocument/2006/relationships/hyperlink" Id="rId162" Target="https://doi.org/10.21105/joss.01541" TargetMode="External" /><Relationship Type="http://schemas.openxmlformats.org/officeDocument/2006/relationships/hyperlink" Id="rId154" Target="https://doi.org/10.21105/joss.11036" TargetMode="External" /><Relationship Type="http://schemas.openxmlformats.org/officeDocument/2006/relationships/hyperlink" Id="rId130" Target="https://doi.org/10.32614/rj-2018-017" TargetMode="External" /><Relationship Type="http://schemas.openxmlformats.org/officeDocument/2006/relationships/hyperlink" Id="rId140" Target="https://doi.org/10.3389/fnhum.2014.00443" TargetMode="External" /><Relationship Type="http://schemas.openxmlformats.org/officeDocument/2006/relationships/hyperlink" Id="rId124" Target="https://doi.org/10.3389/fpsyg.2013.00328" TargetMode="External" /><Relationship Type="http://schemas.openxmlformats.org/officeDocument/2006/relationships/hyperlink" Id="rId173" Target="https://doi.org/10.3389/fpsyg.2018.02504" TargetMode="External" /><Relationship Type="http://schemas.openxmlformats.org/officeDocument/2006/relationships/hyperlink" Id="rId160" Target="https://doi.org/10.3389/fpsyg.2019.02767" TargetMode="External" /><Relationship Type="http://schemas.openxmlformats.org/officeDocument/2006/relationships/hyperlink" Id="rId150" Target="https://doi.org/10.3758/bf03203619" TargetMode="External" /><Relationship Type="http://schemas.openxmlformats.org/officeDocument/2006/relationships/hyperlink" Id="rId158" Target="https://doi.org/10.3758/s13423-017-1272-1" TargetMode="External" /><Relationship Type="http://schemas.openxmlformats.org/officeDocument/2006/relationships/hyperlink" Id="rId164" Target="https://doi.org/10.3758/s13423-024-02510-7" TargetMode="External" /><Relationship Type="http://schemas.openxmlformats.org/officeDocument/2006/relationships/hyperlink" Id="rId126" Target="https://doi.org/10.48550/ARXIV.1701.02434" TargetMode="External" /><Relationship Type="http://schemas.openxmlformats.org/officeDocument/2006/relationships/hyperlink" Id="rId197" Target="https://doi.org/10.48550/ARXIV.1804.06788" TargetMode="External" /><Relationship Type="http://schemas.openxmlformats.org/officeDocument/2006/relationships/hyperlink" Id="rId156" Target="https://doi.org/10.5281/ZENODO.1308151" TargetMode="External" /><Relationship Type="http://schemas.openxmlformats.org/officeDocument/2006/relationships/hyperlink" Id="rId121" Target="https://github.com/metacoglab/hmetad" TargetMode="External" /><Relationship Type="http://schemas.openxmlformats.org/officeDocument/2006/relationships/hyperlink" Id="rId34" Target="https://github.com/metacoglab/hmetad_tutorial" TargetMode="External" /><Relationship Type="http://schemas.openxmlformats.org/officeDocument/2006/relationships/hyperlink" Id="rId66" Target="https://mc-stan.org/install/" TargetMode="External" /><Relationship Type="http://schemas.openxmlformats.org/officeDocument/2006/relationships/hyperlink" Id="rId79" Target="https://mc-stan.org/learn-stan/diagnostics-warnings.html" TargetMode="External" /><Relationship Type="http://schemas.openxmlformats.org/officeDocument/2006/relationships/hyperlink" Id="rId119" Target="https://metacoglab.github.io/hmetad_tutorial" TargetMode="External" /><Relationship Type="http://schemas.openxmlformats.org/officeDocument/2006/relationships/hyperlink" Id="rId35" Target="https://metacoglab.github.io/hmetad_tutorial/" TargetMode="External" /><Relationship Type="http://schemas.openxmlformats.org/officeDocument/2006/relationships/hyperlink" Id="rId28" Target="https://orcid.org/0000-0001-7401-9802" TargetMode="External" /><Relationship Type="http://schemas.openxmlformats.org/officeDocument/2006/relationships/hyperlink" Id="rId33" Target="https://orcid.org/0000-0003-0233-4891" TargetMode="External" /><Relationship Type="http://schemas.openxmlformats.org/officeDocument/2006/relationships/hyperlink" Id="rId36" Target="mailto:kevin.o&#8217;neill@ucl.ac.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QUANTIFYING METACOGNITION WITH hmetad</dc:description>
  <dc:language>en</dc:language>
  <cp:keywords>metacognition, Bayesian statistics, multilevel modeling</cp:keywords>
  <dcterms:created xsi:type="dcterms:W3CDTF">2026-10-30T12:14:23Z</dcterms:created>
  <dcterms:modified xsi:type="dcterms:W3CDTF">2026-10-30T12:14:23Z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ffiliationsdifferent">
    <vt:lpwstr>False</vt:lpwstr>
  </property>
  <property fmtid="{D5CDD505-2E9C-101B-9397-08002B2CF9AE}" pid="4" name="apaabstract">
    <vt:lpwstr>A longstanding goal in metacognition research is the quantification of confidence-related parameters independently from task performance. While there is now a proliferation of generative models of confidence in numerous psychological tasks, the meta-d' model remains a popular approach to estimating metacognitive sensitivity and metacognitive bias within a signal detection theoretic framework. However, as questions in metacognition research increase in complexity, it remains an ongoing challenge to develop extensions of the meta-d' model built to deal with longitudinal, repeated-measures, or other complex experimental designs. Here we introduce the open-source R package hmetad, which allows users to fit the meta-d' model for a wide range of experimental designs using a familiar formula syntax. We also review how the meta-d' model can be validated in a Bayesian workflow which investigates posterior estimates of key parameters. Overall, the hmetad package offers a comprehensive interface to fitting, evaluating, and visualizing signal detection theoretic models of metacognition.</vt:lpwstr>
  </property>
  <property fmtid="{D5CDD505-2E9C-101B-9397-08002B2CF9AE}" pid="5" name="apaauthor">
    <vt:lpwstr/>
  </property>
  <property fmtid="{D5CDD505-2E9C-101B-9397-08002B2CF9AE}" pid="6" name="apatitle">
    <vt:lpwstr>Quantifying metacognition with the hmetad package in R</vt:lpwstr>
  </property>
  <property fmtid="{D5CDD505-2E9C-101B-9397-08002B2CF9AE}" pid="7" name="apatitledisplay">
    <vt:lpwstr>Quantifying metacognition with the hmetad package in R</vt:lpwstr>
  </property>
  <property fmtid="{D5CDD505-2E9C-101B-9397-08002B2CF9AE}" pid="8" name="author-note">
    <vt:lpwstr/>
  </property>
  <property fmtid="{D5CDD505-2E9C-101B-9397-08002B2CF9AE}" pid="9" name="authors">
    <vt:lpwstr/>
  </property>
  <property fmtid="{D5CDD505-2E9C-101B-9397-08002B2CF9AE}" pid="10" name="biblio-config">
    <vt:lpwstr>True</vt:lpwstr>
  </property>
  <property fmtid="{D5CDD505-2E9C-101B-9397-08002B2CF9AE}" pid="11" name="by-affiliation">
    <vt:lpwstr/>
  </property>
  <property fmtid="{D5CDD505-2E9C-101B-9397-08002B2CF9AE}" pid="12" name="by-author">
    <vt:lpwstr/>
  </property>
  <property fmtid="{D5CDD505-2E9C-101B-9397-08002B2CF9AE}" pid="13" name="cap-location">
    <vt:lpwstr>top</vt:lpwstr>
  </property>
  <property fmtid="{D5CDD505-2E9C-101B-9397-08002B2CF9AE}" pid="14" name="crossref">
    <vt:lpwstr/>
  </property>
  <property fmtid="{D5CDD505-2E9C-101B-9397-08002B2CF9AE}" pid="15" name="csl">
    <vt:lpwstr>_extensions/wjschne/apaquarto/apa.csl</vt:lpwstr>
  </property>
  <property fmtid="{D5CDD505-2E9C-101B-9397-08002B2CF9AE}" pid="16" name="documentmode">
    <vt:lpwstr>man</vt:lpwstr>
  </property>
  <property fmtid="{D5CDD505-2E9C-101B-9397-08002B2CF9AE}" pid="17" name="fig-cap-location">
    <vt:lpwstr>top</vt:lpwstr>
  </property>
  <property fmtid="{D5CDD505-2E9C-101B-9397-08002B2CF9AE}" pid="18" name="floatsintext">
    <vt:lpwstr>True</vt:lpwstr>
  </property>
  <property fmtid="{D5CDD505-2E9C-101B-9397-08002B2CF9AE}" pid="19" name="header-includes">
    <vt:lpwstr/>
  </property>
  <property fmtid="{D5CDD505-2E9C-101B-9397-08002B2CF9AE}" pid="20" name="include-after">
    <vt:lpwstr/>
  </property>
  <property fmtid="{D5CDD505-2E9C-101B-9397-08002B2CF9AE}" pid="21" name="include-before">
    <vt:lpwstr/>
  </property>
  <property fmtid="{D5CDD505-2E9C-101B-9397-08002B2CF9AE}" pid="22" name="knitr">
    <vt:lpwstr/>
  </property>
  <property fmtid="{D5CDD505-2E9C-101B-9397-08002B2CF9AE}" pid="23" name="labels">
    <vt:lpwstr/>
  </property>
  <property fmtid="{D5CDD505-2E9C-101B-9397-08002B2CF9AE}" pid="24" name="language">
    <vt:lpwstr/>
  </property>
  <property fmtid="{D5CDD505-2E9C-101B-9397-08002B2CF9AE}" pid="25" name="link-citations">
    <vt:lpwstr>True</vt:lpwstr>
  </property>
  <property fmtid="{D5CDD505-2E9C-101B-9397-08002B2CF9AE}" pid="26" name="mask">
    <vt:lpwstr>False</vt:lpwstr>
  </property>
  <property fmtid="{D5CDD505-2E9C-101B-9397-08002B2CF9AE}" pid="27" name="meta-analysis">
    <vt:lpwstr>True</vt:lpwstr>
  </property>
  <property fmtid="{D5CDD505-2E9C-101B-9397-08002B2CF9AE}" pid="28" name="no-ampersand-parenthetical">
    <vt:lpwstr>False</vt:lpwstr>
  </property>
  <property fmtid="{D5CDD505-2E9C-101B-9397-08002B2CF9AE}" pid="29" name="number-depth">
    <vt:lpwstr>3</vt:lpwstr>
  </property>
  <property fmtid="{D5CDD505-2E9C-101B-9397-08002B2CF9AE}" pid="30" name="numbered-lines">
    <vt:lpwstr>False</vt:lpwstr>
  </property>
  <property fmtid="{D5CDD505-2E9C-101B-9397-08002B2CF9AE}" pid="31" name="numbersections">
    <vt:lpwstr>False</vt:lpwstr>
  </property>
  <property fmtid="{D5CDD505-2E9C-101B-9397-08002B2CF9AE}" pid="32" name="oneaffiliation">
    <vt:lpwstr>False</vt:lpwstr>
  </property>
  <property fmtid="{D5CDD505-2E9C-101B-9397-08002B2CF9AE}" pid="33" name="oneauthor">
    <vt:lpwstr>False</vt:lpwstr>
  </property>
  <property fmtid="{D5CDD505-2E9C-101B-9397-08002B2CF9AE}" pid="34" name="preview">
    <vt:lpwstr/>
  </property>
  <property fmtid="{D5CDD505-2E9C-101B-9397-08002B2CF9AE}" pid="35" name="references">
    <vt:lpwstr/>
  </property>
  <property fmtid="{D5CDD505-2E9C-101B-9397-08002B2CF9AE}" pid="36" name="revealjs-plugins">
    <vt:lpwstr/>
  </property>
  <property fmtid="{D5CDD505-2E9C-101B-9397-08002B2CF9AE}" pid="37" name="shorttitle">
    <vt:lpwstr>QUANTIFYING METACOGNITION WITH hmetad</vt:lpwstr>
  </property>
  <property fmtid="{D5CDD505-2E9C-101B-9397-08002B2CF9AE}" pid="38" name="suppress-abstract">
    <vt:lpwstr>False</vt:lpwstr>
  </property>
  <property fmtid="{D5CDD505-2E9C-101B-9397-08002B2CF9AE}" pid="39" name="suppress-affiliation">
    <vt:lpwstr>False</vt:lpwstr>
  </property>
  <property fmtid="{D5CDD505-2E9C-101B-9397-08002B2CF9AE}" pid="40" name="suppress-author">
    <vt:lpwstr>False</vt:lpwstr>
  </property>
  <property fmtid="{D5CDD505-2E9C-101B-9397-08002B2CF9AE}" pid="41" name="suppress-author-note">
    <vt:lpwstr>False</vt:lpwstr>
  </property>
  <property fmtid="{D5CDD505-2E9C-101B-9397-08002B2CF9AE}" pid="42" name="suppress-corresponding-address">
    <vt:lpwstr>False</vt:lpwstr>
  </property>
  <property fmtid="{D5CDD505-2E9C-101B-9397-08002B2CF9AE}" pid="43" name="suppress-corresponding-affiliation-name">
    <vt:lpwstr>False</vt:lpwstr>
  </property>
  <property fmtid="{D5CDD505-2E9C-101B-9397-08002B2CF9AE}" pid="44" name="suppress-corresponding-city">
    <vt:lpwstr>False</vt:lpwstr>
  </property>
  <property fmtid="{D5CDD505-2E9C-101B-9397-08002B2CF9AE}" pid="45" name="suppress-corresponding-country">
    <vt:lpwstr>False</vt:lpwstr>
  </property>
  <property fmtid="{D5CDD505-2E9C-101B-9397-08002B2CF9AE}" pid="46" name="suppress-corresponding-department">
    <vt:lpwstr>False</vt:lpwstr>
  </property>
  <property fmtid="{D5CDD505-2E9C-101B-9397-08002B2CF9AE}" pid="47" name="suppress-corresponding-email">
    <vt:lpwstr>False</vt:lpwstr>
  </property>
  <property fmtid="{D5CDD505-2E9C-101B-9397-08002B2CF9AE}" pid="48" name="suppress-corresponding-group">
    <vt:lpwstr>False</vt:lpwstr>
  </property>
  <property fmtid="{D5CDD505-2E9C-101B-9397-08002B2CF9AE}" pid="49" name="suppress-corresponding-paragraph">
    <vt:lpwstr>False</vt:lpwstr>
  </property>
  <property fmtid="{D5CDD505-2E9C-101B-9397-08002B2CF9AE}" pid="50" name="suppress-corresponding-postal-code">
    <vt:lpwstr>False</vt:lpwstr>
  </property>
  <property fmtid="{D5CDD505-2E9C-101B-9397-08002B2CF9AE}" pid="51" name="suppress-corresponding-region">
    <vt:lpwstr>False</vt:lpwstr>
  </property>
  <property fmtid="{D5CDD505-2E9C-101B-9397-08002B2CF9AE}" pid="52" name="suppress-credit-statement">
    <vt:lpwstr>False</vt:lpwstr>
  </property>
  <property fmtid="{D5CDD505-2E9C-101B-9397-08002B2CF9AE}" pid="53" name="suppress-disclosures-paragraph">
    <vt:lpwstr>False</vt:lpwstr>
  </property>
  <property fmtid="{D5CDD505-2E9C-101B-9397-08002B2CF9AE}" pid="54" name="suppress-impact-statement">
    <vt:lpwstr>False</vt:lpwstr>
  </property>
  <property fmtid="{D5CDD505-2E9C-101B-9397-08002B2CF9AE}" pid="55" name="suppress-keywords">
    <vt:lpwstr>False</vt:lpwstr>
  </property>
  <property fmtid="{D5CDD505-2E9C-101B-9397-08002B2CF9AE}" pid="56" name="suppress-orcid">
    <vt:lpwstr>False</vt:lpwstr>
  </property>
  <property fmtid="{D5CDD505-2E9C-101B-9397-08002B2CF9AE}" pid="57" name="suppress-short-title">
    <vt:lpwstr>False</vt:lpwstr>
  </property>
  <property fmtid="{D5CDD505-2E9C-101B-9397-08002B2CF9AE}" pid="58" name="suppress-status-change-paragraph">
    <vt:lpwstr>False</vt:lpwstr>
  </property>
  <property fmtid="{D5CDD505-2E9C-101B-9397-08002B2CF9AE}" pid="59" name="suppress-title">
    <vt:lpwstr>False</vt:lpwstr>
  </property>
  <property fmtid="{D5CDD505-2E9C-101B-9397-08002B2CF9AE}" pid="60" name="suppress-title-introduction">
    <vt:lpwstr>False</vt:lpwstr>
  </property>
  <property fmtid="{D5CDD505-2E9C-101B-9397-08002B2CF9AE}" pid="61" name="suppress-title-page">
    <vt:lpwstr>False</vt:lpwstr>
  </property>
  <property fmtid="{D5CDD505-2E9C-101B-9397-08002B2CF9AE}" pid="62" name="suppress-title-page-number">
    <vt:lpwstr>False</vt:lpwstr>
  </property>
  <property fmtid="{D5CDD505-2E9C-101B-9397-08002B2CF9AE}" pid="63" name="tbl-cap-location">
    <vt:lpwstr>top</vt:lpwstr>
  </property>
  <property fmtid="{D5CDD505-2E9C-101B-9397-08002B2CF9AE}" pid="64" name="toc-title">
    <vt:lpwstr>Table of contents</vt:lpwstr>
  </property>
  <property fmtid="{D5CDD505-2E9C-101B-9397-08002B2CF9AE}" pid="65" name="word-count">
    <vt:lpwstr>True</vt:lpwstr>
  </property>
  <property fmtid="{D5CDD505-2E9C-101B-9397-08002B2CF9AE}" pid="66" name="wordn">
    <vt:lpwstr>12583</vt:lpwstr>
  </property>
  <property fmtid="{D5CDD505-2E9C-101B-9397-08002B2CF9AE}" pid="67" name="zerocitations">
    <vt:lpwstr>False</vt:lpwstr>
  </property>
</Properties>
</file>